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435F" w14:textId="77777777" w:rsidR="003C3664" w:rsidRDefault="00B960B0">
      <w:pPr>
        <w:tabs>
          <w:tab w:val="left" w:pos="360"/>
        </w:tabs>
        <w:jc w:val="center"/>
        <w:rPr>
          <w:b/>
          <w:color w:val="000000"/>
          <w:sz w:val="19"/>
          <w:szCs w:val="19"/>
        </w:rPr>
      </w:pPr>
      <w:r>
        <w:rPr>
          <w:b/>
          <w:color w:val="000000"/>
          <w:sz w:val="19"/>
          <w:szCs w:val="19"/>
        </w:rPr>
        <w:t>STATEMENT OF WORK</w:t>
      </w:r>
    </w:p>
    <w:p w14:paraId="5E5F7E0F" w14:textId="77777777" w:rsidR="003C3664" w:rsidRDefault="003C3664">
      <w:pPr>
        <w:tabs>
          <w:tab w:val="left" w:pos="360"/>
        </w:tabs>
        <w:jc w:val="both"/>
        <w:rPr>
          <w:color w:val="000000"/>
          <w:sz w:val="19"/>
          <w:szCs w:val="19"/>
        </w:rPr>
      </w:pPr>
    </w:p>
    <w:p w14:paraId="73F71A99" w14:textId="7C27F6BC" w:rsidR="004D692F" w:rsidRDefault="004D692F" w:rsidP="004D692F">
      <w:pPr>
        <w:rPr>
          <w:sz w:val="20"/>
          <w:szCs w:val="20"/>
          <w:highlight w:val="white"/>
        </w:rPr>
      </w:pPr>
      <w:r>
        <w:rPr>
          <w:sz w:val="20"/>
          <w:szCs w:val="20"/>
        </w:rPr>
        <w:t>This Statement of Work</w:t>
      </w:r>
      <w:r w:rsidR="00F6118E">
        <w:rPr>
          <w:sz w:val="20"/>
          <w:szCs w:val="20"/>
        </w:rPr>
        <w:t xml:space="preserve"> is effective as of </w:t>
      </w:r>
      <w:r w:rsidR="00590F85">
        <w:rPr>
          <w:sz w:val="20"/>
          <w:szCs w:val="20"/>
        </w:rPr>
        <w:t>_____________,</w:t>
      </w:r>
      <w:r>
        <w:rPr>
          <w:sz w:val="20"/>
          <w:szCs w:val="20"/>
        </w:rPr>
        <w:t xml:space="preserve"> 2022</w:t>
      </w:r>
      <w:r w:rsidR="00F6118E">
        <w:rPr>
          <w:sz w:val="20"/>
          <w:szCs w:val="20"/>
        </w:rPr>
        <w:t xml:space="preserve"> </w:t>
      </w:r>
      <w:r>
        <w:rPr>
          <w:sz w:val="20"/>
          <w:szCs w:val="20"/>
        </w:rPr>
        <w:t>(the “</w:t>
      </w:r>
      <w:r w:rsidRPr="004D692F">
        <w:rPr>
          <w:sz w:val="20"/>
          <w:szCs w:val="20"/>
          <w:u w:val="single"/>
        </w:rPr>
        <w:t>Effective Date</w:t>
      </w:r>
      <w:r>
        <w:rPr>
          <w:sz w:val="20"/>
          <w:szCs w:val="20"/>
        </w:rPr>
        <w:t>”)</w:t>
      </w:r>
      <w:r w:rsidR="00277336">
        <w:rPr>
          <w:sz w:val="20"/>
          <w:szCs w:val="20"/>
        </w:rPr>
        <w:t>,</w:t>
      </w:r>
      <w:r>
        <w:rPr>
          <w:sz w:val="20"/>
          <w:szCs w:val="20"/>
        </w:rPr>
        <w:t xml:space="preserve"> </w:t>
      </w:r>
      <w:r w:rsidR="00CA181E">
        <w:rPr>
          <w:sz w:val="20"/>
          <w:szCs w:val="20"/>
        </w:rPr>
        <w:t xml:space="preserve">and </w:t>
      </w:r>
      <w:r>
        <w:rPr>
          <w:sz w:val="20"/>
          <w:szCs w:val="20"/>
        </w:rPr>
        <w:t>is entered into by and between</w:t>
      </w:r>
      <w:r w:rsidR="00CA181E">
        <w:rPr>
          <w:sz w:val="20"/>
          <w:szCs w:val="20"/>
        </w:rPr>
        <w:t xml:space="preserve"> ________________</w:t>
      </w:r>
      <w:proofErr w:type="gramStart"/>
      <w:r w:rsidR="00CA181E">
        <w:rPr>
          <w:sz w:val="20"/>
          <w:szCs w:val="20"/>
        </w:rPr>
        <w:t>_</w:t>
      </w:r>
      <w:r>
        <w:rPr>
          <w:sz w:val="20"/>
          <w:szCs w:val="20"/>
        </w:rPr>
        <w:t>(</w:t>
      </w:r>
      <w:proofErr w:type="gramEnd"/>
      <w:r>
        <w:rPr>
          <w:sz w:val="20"/>
          <w:szCs w:val="20"/>
        </w:rPr>
        <w:t>the “</w:t>
      </w:r>
      <w:r w:rsidR="00F6118E">
        <w:rPr>
          <w:sz w:val="20"/>
          <w:szCs w:val="20"/>
          <w:u w:val="single"/>
        </w:rPr>
        <w:t>Company</w:t>
      </w:r>
      <w:r>
        <w:rPr>
          <w:sz w:val="20"/>
          <w:szCs w:val="20"/>
        </w:rPr>
        <w:t xml:space="preserve">”) and </w:t>
      </w:r>
      <w:r w:rsidR="00590F85">
        <w:rPr>
          <w:sz w:val="20"/>
          <w:szCs w:val="20"/>
        </w:rPr>
        <w:t>Crispr</w:t>
      </w:r>
      <w:r w:rsidR="00481FD9">
        <w:rPr>
          <w:sz w:val="20"/>
          <w:szCs w:val="20"/>
        </w:rPr>
        <w:t xml:space="preserve"> </w:t>
      </w:r>
      <w:r w:rsidR="00590F85">
        <w:rPr>
          <w:sz w:val="20"/>
          <w:szCs w:val="20"/>
        </w:rPr>
        <w:t>QC, Inc.</w:t>
      </w:r>
      <w:r w:rsidR="00CA181E">
        <w:rPr>
          <w:sz w:val="20"/>
          <w:szCs w:val="20"/>
        </w:rPr>
        <w:t xml:space="preserve"> </w:t>
      </w:r>
      <w:r>
        <w:rPr>
          <w:sz w:val="20"/>
          <w:szCs w:val="20"/>
          <w:highlight w:val="white"/>
        </w:rPr>
        <w:t>(“</w:t>
      </w:r>
      <w:r w:rsidR="00590F85">
        <w:rPr>
          <w:sz w:val="20"/>
          <w:szCs w:val="20"/>
          <w:highlight w:val="white"/>
          <w:u w:val="single"/>
        </w:rPr>
        <w:t>Crispr QC</w:t>
      </w:r>
      <w:r>
        <w:rPr>
          <w:sz w:val="20"/>
          <w:szCs w:val="20"/>
          <w:highlight w:val="white"/>
        </w:rPr>
        <w:t>”) (</w:t>
      </w:r>
      <w:r w:rsidR="00277336">
        <w:rPr>
          <w:sz w:val="20"/>
          <w:szCs w:val="20"/>
          <w:highlight w:val="white"/>
        </w:rPr>
        <w:t>each a “</w:t>
      </w:r>
      <w:r w:rsidR="00277336" w:rsidRPr="00277336">
        <w:rPr>
          <w:sz w:val="20"/>
          <w:szCs w:val="20"/>
          <w:highlight w:val="white"/>
          <w:u w:val="single"/>
        </w:rPr>
        <w:t>Party</w:t>
      </w:r>
      <w:r w:rsidR="00277336">
        <w:rPr>
          <w:sz w:val="20"/>
          <w:szCs w:val="20"/>
          <w:highlight w:val="white"/>
        </w:rPr>
        <w:t xml:space="preserve">” and </w:t>
      </w:r>
      <w:r>
        <w:rPr>
          <w:sz w:val="20"/>
          <w:szCs w:val="20"/>
          <w:highlight w:val="white"/>
        </w:rPr>
        <w:t>together, the “</w:t>
      </w:r>
      <w:r>
        <w:rPr>
          <w:sz w:val="20"/>
          <w:szCs w:val="20"/>
          <w:highlight w:val="white"/>
          <w:u w:val="single"/>
        </w:rPr>
        <w:t>Parties</w:t>
      </w:r>
      <w:r>
        <w:rPr>
          <w:sz w:val="20"/>
          <w:szCs w:val="20"/>
          <w:highlight w:val="white"/>
        </w:rPr>
        <w:t xml:space="preserve">”). This Statement of Work is subject to the terms and conditions attached hereto as </w:t>
      </w:r>
      <w:r>
        <w:rPr>
          <w:sz w:val="20"/>
          <w:szCs w:val="20"/>
          <w:highlight w:val="white"/>
          <w:u w:val="single"/>
        </w:rPr>
        <w:t>Schedule A</w:t>
      </w:r>
      <w:r>
        <w:rPr>
          <w:sz w:val="20"/>
          <w:szCs w:val="20"/>
          <w:highlight w:val="white"/>
        </w:rPr>
        <w:t xml:space="preserve"> and incorporated by reference herein (the “</w:t>
      </w:r>
      <w:r>
        <w:rPr>
          <w:sz w:val="20"/>
          <w:szCs w:val="20"/>
          <w:highlight w:val="white"/>
          <w:u w:val="single"/>
        </w:rPr>
        <w:t>Terms and Conditions</w:t>
      </w:r>
      <w:r>
        <w:rPr>
          <w:sz w:val="20"/>
          <w:szCs w:val="20"/>
          <w:highlight w:val="white"/>
        </w:rPr>
        <w:t>”</w:t>
      </w:r>
      <w:r>
        <w:rPr>
          <w:sz w:val="20"/>
          <w:szCs w:val="20"/>
        </w:rPr>
        <w:t>, and together with this Statement of Work, collectively, the “</w:t>
      </w:r>
      <w:r>
        <w:rPr>
          <w:sz w:val="20"/>
          <w:szCs w:val="20"/>
          <w:u w:val="single"/>
        </w:rPr>
        <w:t>Agreement</w:t>
      </w:r>
      <w:r>
        <w:rPr>
          <w:sz w:val="20"/>
          <w:szCs w:val="20"/>
        </w:rPr>
        <w:t xml:space="preserve">”). </w:t>
      </w:r>
      <w:r>
        <w:rPr>
          <w:sz w:val="20"/>
          <w:szCs w:val="20"/>
          <w:highlight w:val="white"/>
        </w:rPr>
        <w:t xml:space="preserve">Capitalized terms used herein and not otherwise defined shall have the meanings ascribed thereto in </w:t>
      </w:r>
      <w:r>
        <w:rPr>
          <w:sz w:val="20"/>
          <w:szCs w:val="20"/>
          <w:highlight w:val="white"/>
          <w:u w:val="single"/>
        </w:rPr>
        <w:t>Schedule A</w:t>
      </w:r>
      <w:r>
        <w:rPr>
          <w:sz w:val="20"/>
          <w:szCs w:val="20"/>
          <w:highlight w:val="white"/>
        </w:rPr>
        <w:t>.</w:t>
      </w:r>
    </w:p>
    <w:p w14:paraId="49F91828" w14:textId="77777777" w:rsidR="003C3664" w:rsidRDefault="003C3664">
      <w:pPr>
        <w:tabs>
          <w:tab w:val="left" w:pos="360"/>
        </w:tabs>
        <w:jc w:val="both"/>
        <w:rPr>
          <w:color w:val="000000"/>
          <w:sz w:val="19"/>
          <w:szCs w:val="19"/>
        </w:rPr>
      </w:pPr>
    </w:p>
    <w:p w14:paraId="579BF6F0" w14:textId="3A0B6C81" w:rsidR="00590F85" w:rsidRDefault="00590F85" w:rsidP="00CA181E">
      <w:pPr>
        <w:tabs>
          <w:tab w:val="left" w:pos="360"/>
        </w:tabs>
        <w:jc w:val="both"/>
        <w:rPr>
          <w:color w:val="000000"/>
          <w:sz w:val="19"/>
          <w:szCs w:val="19"/>
        </w:rPr>
      </w:pPr>
      <w:r>
        <w:rPr>
          <w:b/>
          <w:bCs/>
          <w:color w:val="000000"/>
          <w:sz w:val="19"/>
          <w:szCs w:val="19"/>
          <w:u w:val="single"/>
        </w:rPr>
        <w:t>Services</w:t>
      </w:r>
      <w:r>
        <w:rPr>
          <w:b/>
          <w:bCs/>
          <w:color w:val="000000"/>
          <w:sz w:val="19"/>
          <w:szCs w:val="19"/>
        </w:rPr>
        <w:t>:</w:t>
      </w:r>
      <w:r>
        <w:rPr>
          <w:color w:val="000000"/>
          <w:sz w:val="19"/>
          <w:szCs w:val="19"/>
        </w:rPr>
        <w:t xml:space="preserve"> Crispr QC</w:t>
      </w:r>
      <w:r w:rsidR="00B960B0">
        <w:rPr>
          <w:color w:val="000000"/>
          <w:sz w:val="19"/>
          <w:szCs w:val="19"/>
        </w:rPr>
        <w:t xml:space="preserve"> shall perform </w:t>
      </w:r>
      <w:r>
        <w:rPr>
          <w:color w:val="000000"/>
          <w:sz w:val="19"/>
          <w:szCs w:val="19"/>
        </w:rPr>
        <w:t xml:space="preserve">the following </w:t>
      </w:r>
      <w:r w:rsidR="00B960B0">
        <w:rPr>
          <w:color w:val="000000"/>
          <w:sz w:val="19"/>
          <w:szCs w:val="19"/>
        </w:rPr>
        <w:t xml:space="preserve">services and deliver </w:t>
      </w:r>
      <w:r>
        <w:rPr>
          <w:color w:val="000000"/>
          <w:sz w:val="19"/>
          <w:szCs w:val="19"/>
        </w:rPr>
        <w:t xml:space="preserve">the following </w:t>
      </w:r>
      <w:r w:rsidR="00B960B0">
        <w:rPr>
          <w:color w:val="000000"/>
          <w:sz w:val="19"/>
          <w:szCs w:val="19"/>
        </w:rPr>
        <w:t xml:space="preserve">deliverables </w:t>
      </w:r>
      <w:r w:rsidR="00CA181E">
        <w:rPr>
          <w:color w:val="000000"/>
          <w:sz w:val="19"/>
          <w:szCs w:val="19"/>
        </w:rPr>
        <w:t>(</w:t>
      </w:r>
      <w:r w:rsidR="00B960B0">
        <w:rPr>
          <w:color w:val="000000"/>
          <w:sz w:val="19"/>
          <w:szCs w:val="19"/>
        </w:rPr>
        <w:t>the “</w:t>
      </w:r>
      <w:r w:rsidR="00B960B0" w:rsidRPr="00277336">
        <w:rPr>
          <w:color w:val="000000"/>
          <w:sz w:val="19"/>
          <w:szCs w:val="19"/>
          <w:u w:val="single"/>
        </w:rPr>
        <w:t>Services</w:t>
      </w:r>
      <w:r w:rsidR="00B960B0">
        <w:rPr>
          <w:color w:val="000000"/>
          <w:sz w:val="19"/>
          <w:szCs w:val="19"/>
        </w:rPr>
        <w:t>”)</w:t>
      </w:r>
      <w:r>
        <w:rPr>
          <w:color w:val="000000"/>
          <w:sz w:val="19"/>
          <w:szCs w:val="19"/>
        </w:rPr>
        <w:t>:</w:t>
      </w:r>
    </w:p>
    <w:p w14:paraId="328BB519" w14:textId="77777777" w:rsidR="00590F85" w:rsidRDefault="00590F85" w:rsidP="00CA181E">
      <w:pPr>
        <w:tabs>
          <w:tab w:val="left" w:pos="360"/>
        </w:tabs>
        <w:jc w:val="both"/>
        <w:rPr>
          <w:color w:val="000000"/>
          <w:sz w:val="19"/>
          <w:szCs w:val="19"/>
        </w:rPr>
      </w:pPr>
    </w:p>
    <w:p w14:paraId="419038A7" w14:textId="77777777" w:rsidR="00590F85" w:rsidRDefault="00590F85" w:rsidP="00CA181E">
      <w:pPr>
        <w:tabs>
          <w:tab w:val="left" w:pos="360"/>
        </w:tabs>
        <w:jc w:val="both"/>
        <w:rPr>
          <w:color w:val="000000"/>
          <w:sz w:val="19"/>
          <w:szCs w:val="19"/>
        </w:rPr>
      </w:pPr>
    </w:p>
    <w:p w14:paraId="7C4953DF" w14:textId="5223EFC7" w:rsidR="00F6118E" w:rsidRDefault="00CA181E" w:rsidP="00CA181E">
      <w:pPr>
        <w:tabs>
          <w:tab w:val="left" w:pos="360"/>
        </w:tabs>
        <w:jc w:val="both"/>
        <w:rPr>
          <w:color w:val="000000"/>
          <w:sz w:val="19"/>
          <w:szCs w:val="19"/>
        </w:rPr>
      </w:pPr>
      <w:r>
        <w:rPr>
          <w:color w:val="000000"/>
          <w:sz w:val="19"/>
          <w:szCs w:val="19"/>
        </w:rPr>
        <w:t xml:space="preserve">  </w:t>
      </w:r>
    </w:p>
    <w:p w14:paraId="013D55DF" w14:textId="77777777" w:rsidR="00F6118E" w:rsidRDefault="00F6118E" w:rsidP="00F6118E">
      <w:pPr>
        <w:tabs>
          <w:tab w:val="left" w:pos="360"/>
        </w:tabs>
        <w:jc w:val="both"/>
        <w:rPr>
          <w:color w:val="000000"/>
          <w:sz w:val="19"/>
          <w:szCs w:val="19"/>
        </w:rPr>
      </w:pPr>
    </w:p>
    <w:p w14:paraId="6787C03E" w14:textId="630C8CEF" w:rsidR="003C3664" w:rsidRDefault="00B960B0">
      <w:pPr>
        <w:tabs>
          <w:tab w:val="left" w:pos="360"/>
        </w:tabs>
        <w:jc w:val="both"/>
        <w:rPr>
          <w:color w:val="000000"/>
          <w:sz w:val="19"/>
          <w:szCs w:val="19"/>
        </w:rPr>
      </w:pPr>
      <w:r w:rsidRPr="004D692F">
        <w:rPr>
          <w:b/>
          <w:bCs/>
          <w:color w:val="000000"/>
          <w:sz w:val="19"/>
          <w:szCs w:val="19"/>
          <w:u w:val="single"/>
        </w:rPr>
        <w:t>Compensation</w:t>
      </w:r>
      <w:r>
        <w:rPr>
          <w:color w:val="000000"/>
          <w:sz w:val="19"/>
          <w:szCs w:val="19"/>
        </w:rPr>
        <w:t xml:space="preserve">:  In consideration for the Services provided hereunder, the </w:t>
      </w:r>
      <w:r w:rsidR="00F6118E">
        <w:rPr>
          <w:color w:val="000000"/>
          <w:sz w:val="19"/>
          <w:szCs w:val="19"/>
        </w:rPr>
        <w:t>Company</w:t>
      </w:r>
      <w:r>
        <w:rPr>
          <w:color w:val="000000"/>
          <w:sz w:val="19"/>
          <w:szCs w:val="19"/>
        </w:rPr>
        <w:t xml:space="preserve"> shall pay </w:t>
      </w:r>
      <w:r w:rsidR="00590F85">
        <w:rPr>
          <w:color w:val="000000"/>
          <w:sz w:val="19"/>
          <w:szCs w:val="19"/>
        </w:rPr>
        <w:t>Crispr QC</w:t>
      </w:r>
      <w:r w:rsidR="00F6118E">
        <w:rPr>
          <w:color w:val="000000"/>
          <w:sz w:val="19"/>
          <w:szCs w:val="19"/>
        </w:rPr>
        <w:t xml:space="preserve"> </w:t>
      </w:r>
      <w:r w:rsidR="00CA181E">
        <w:rPr>
          <w:color w:val="000000"/>
          <w:sz w:val="19"/>
          <w:szCs w:val="19"/>
        </w:rPr>
        <w:t xml:space="preserve">the </w:t>
      </w:r>
      <w:r w:rsidR="005A447A">
        <w:rPr>
          <w:color w:val="000000"/>
          <w:sz w:val="19"/>
          <w:szCs w:val="19"/>
        </w:rPr>
        <w:t xml:space="preserve">following </w:t>
      </w:r>
      <w:r w:rsidR="00CA181E">
        <w:rPr>
          <w:color w:val="000000"/>
          <w:sz w:val="19"/>
          <w:szCs w:val="19"/>
        </w:rPr>
        <w:t>fees and expenses</w:t>
      </w:r>
      <w:r w:rsidR="005A447A">
        <w:rPr>
          <w:color w:val="000000"/>
          <w:sz w:val="19"/>
          <w:szCs w:val="19"/>
        </w:rPr>
        <w:t>:</w:t>
      </w:r>
    </w:p>
    <w:p w14:paraId="5DE6F419" w14:textId="7387A2E9" w:rsidR="003C3664" w:rsidRDefault="003C3664">
      <w:pPr>
        <w:tabs>
          <w:tab w:val="left" w:pos="360"/>
        </w:tabs>
        <w:jc w:val="both"/>
        <w:rPr>
          <w:color w:val="000000"/>
          <w:sz w:val="19"/>
          <w:szCs w:val="19"/>
        </w:rPr>
      </w:pPr>
    </w:p>
    <w:p w14:paraId="3581A8AD" w14:textId="77777777" w:rsidR="005A447A" w:rsidRDefault="005A447A">
      <w:pPr>
        <w:tabs>
          <w:tab w:val="left" w:pos="360"/>
        </w:tabs>
        <w:jc w:val="both"/>
        <w:rPr>
          <w:color w:val="000000"/>
          <w:sz w:val="19"/>
          <w:szCs w:val="19"/>
        </w:rPr>
      </w:pPr>
    </w:p>
    <w:p w14:paraId="0E9738EF" w14:textId="25B36EC7" w:rsidR="004D692F" w:rsidRPr="004D692F" w:rsidRDefault="004D692F" w:rsidP="004D692F">
      <w:pPr>
        <w:spacing w:after="240"/>
        <w:jc w:val="both"/>
        <w:rPr>
          <w:sz w:val="20"/>
          <w:szCs w:val="20"/>
          <w:highlight w:val="white"/>
        </w:rPr>
      </w:pPr>
      <w:r>
        <w:rPr>
          <w:b/>
          <w:color w:val="000000"/>
          <w:sz w:val="20"/>
          <w:szCs w:val="20"/>
          <w:u w:val="single"/>
        </w:rPr>
        <w:t>Additional Terms and Conditions</w:t>
      </w:r>
      <w:r>
        <w:rPr>
          <w:color w:val="000000"/>
          <w:sz w:val="20"/>
          <w:szCs w:val="20"/>
        </w:rPr>
        <w:t>:</w:t>
      </w:r>
      <w:r>
        <w:rPr>
          <w:sz w:val="20"/>
          <w:szCs w:val="20"/>
        </w:rPr>
        <w:t xml:space="preserve"> </w:t>
      </w:r>
    </w:p>
    <w:p w14:paraId="002F45C4" w14:textId="77777777" w:rsidR="003C3664" w:rsidRDefault="003C3664">
      <w:pPr>
        <w:tabs>
          <w:tab w:val="left" w:pos="360"/>
        </w:tabs>
        <w:jc w:val="both"/>
        <w:rPr>
          <w:color w:val="000000"/>
          <w:sz w:val="19"/>
          <w:szCs w:val="19"/>
        </w:rPr>
      </w:pPr>
    </w:p>
    <w:p w14:paraId="30942C26" w14:textId="77777777" w:rsidR="003C3664" w:rsidRDefault="00B960B0">
      <w:pPr>
        <w:tabs>
          <w:tab w:val="left" w:pos="360"/>
        </w:tabs>
        <w:jc w:val="both"/>
        <w:rPr>
          <w:color w:val="000000"/>
          <w:sz w:val="19"/>
          <w:szCs w:val="19"/>
        </w:rPr>
      </w:pPr>
      <w:r>
        <w:rPr>
          <w:color w:val="000000"/>
          <w:sz w:val="19"/>
          <w:szCs w:val="19"/>
        </w:rPr>
        <w:t>IN WITNESS WHEREOF, the Parties have caused this Agreement to be executed by their duly authorized representatives, as follows:</w:t>
      </w:r>
    </w:p>
    <w:p w14:paraId="3F6E6D45" w14:textId="77777777" w:rsidR="003C3664" w:rsidRDefault="003C3664">
      <w:pPr>
        <w:tabs>
          <w:tab w:val="left" w:pos="360"/>
        </w:tabs>
        <w:jc w:val="both"/>
        <w:rPr>
          <w:color w:val="000000"/>
          <w:sz w:val="19"/>
          <w:szCs w:val="19"/>
        </w:rPr>
      </w:pPr>
    </w:p>
    <w:p w14:paraId="0A62D287" w14:textId="77777777" w:rsidR="003C3664" w:rsidRDefault="003C3664">
      <w:pPr>
        <w:pBdr>
          <w:top w:val="nil"/>
          <w:left w:val="nil"/>
          <w:bottom w:val="nil"/>
          <w:right w:val="nil"/>
          <w:between w:val="nil"/>
        </w:pBdr>
        <w:spacing w:after="240"/>
        <w:jc w:val="both"/>
        <w:rPr>
          <w:color w:val="000000"/>
          <w:sz w:val="19"/>
          <w:szCs w:val="19"/>
        </w:rPr>
      </w:pPr>
    </w:p>
    <w:p w14:paraId="0C332C16" w14:textId="77777777" w:rsidR="003C3664" w:rsidRDefault="00B960B0">
      <w:pPr>
        <w:tabs>
          <w:tab w:val="left" w:pos="360"/>
        </w:tabs>
        <w:jc w:val="both"/>
        <w:rPr>
          <w:color w:val="000000"/>
          <w:sz w:val="19"/>
          <w:szCs w:val="19"/>
        </w:rPr>
      </w:pPr>
      <w:r>
        <w:rPr>
          <w:color w:val="000000"/>
          <w:sz w:val="19"/>
          <w:szCs w:val="19"/>
        </w:rPr>
        <w:t xml:space="preserve"> </w:t>
      </w:r>
    </w:p>
    <w:tbl>
      <w:tblPr>
        <w:tblW w:w="10070" w:type="dxa"/>
        <w:tblLayout w:type="fixed"/>
        <w:tblLook w:val="0400" w:firstRow="0" w:lastRow="0" w:firstColumn="0" w:lastColumn="0" w:noHBand="0" w:noVBand="1"/>
      </w:tblPr>
      <w:tblGrid>
        <w:gridCol w:w="5035"/>
        <w:gridCol w:w="5035"/>
      </w:tblGrid>
      <w:tr w:rsidR="003C3664" w14:paraId="45783C8A" w14:textId="77777777">
        <w:tc>
          <w:tcPr>
            <w:tcW w:w="5035" w:type="dxa"/>
          </w:tcPr>
          <w:p w14:paraId="222EED75" w14:textId="5732BB6D" w:rsidR="003C3664" w:rsidRDefault="005A447A">
            <w:pPr>
              <w:spacing w:after="240"/>
              <w:jc w:val="both"/>
              <w:rPr>
                <w:color w:val="000000"/>
                <w:sz w:val="19"/>
                <w:szCs w:val="19"/>
              </w:rPr>
            </w:pPr>
            <w:proofErr w:type="spellStart"/>
            <w:r>
              <w:rPr>
                <w:color w:val="000000"/>
                <w:sz w:val="19"/>
                <w:szCs w:val="19"/>
              </w:rPr>
              <w:t>Crsipr</w:t>
            </w:r>
            <w:proofErr w:type="spellEnd"/>
            <w:r>
              <w:rPr>
                <w:color w:val="000000"/>
                <w:sz w:val="19"/>
                <w:szCs w:val="19"/>
              </w:rPr>
              <w:t xml:space="preserve"> QC:</w:t>
            </w:r>
          </w:p>
        </w:tc>
        <w:tc>
          <w:tcPr>
            <w:tcW w:w="5035" w:type="dxa"/>
          </w:tcPr>
          <w:p w14:paraId="7D587472" w14:textId="69A560F7" w:rsidR="003C3664" w:rsidRDefault="00F6118E">
            <w:pPr>
              <w:spacing w:after="240"/>
              <w:jc w:val="both"/>
              <w:rPr>
                <w:color w:val="000000"/>
                <w:sz w:val="19"/>
                <w:szCs w:val="19"/>
              </w:rPr>
            </w:pPr>
            <w:r>
              <w:rPr>
                <w:color w:val="000000"/>
                <w:sz w:val="19"/>
                <w:szCs w:val="19"/>
              </w:rPr>
              <w:t>[COMPANY]</w:t>
            </w:r>
          </w:p>
        </w:tc>
      </w:tr>
      <w:tr w:rsidR="003C3664" w14:paraId="60F0D760" w14:textId="77777777">
        <w:tc>
          <w:tcPr>
            <w:tcW w:w="5035" w:type="dxa"/>
          </w:tcPr>
          <w:p w14:paraId="30B74F2D" w14:textId="77777777" w:rsidR="003C3664" w:rsidRDefault="00B960B0">
            <w:pPr>
              <w:jc w:val="both"/>
              <w:rPr>
                <w:color w:val="000000"/>
                <w:sz w:val="19"/>
                <w:szCs w:val="19"/>
              </w:rPr>
            </w:pPr>
            <w:r>
              <w:rPr>
                <w:color w:val="000000"/>
                <w:sz w:val="19"/>
                <w:szCs w:val="19"/>
              </w:rPr>
              <w:t xml:space="preserve">By: </w:t>
            </w:r>
            <w:r>
              <w:rPr>
                <w:color w:val="FFFFFF"/>
                <w:sz w:val="19"/>
                <w:szCs w:val="19"/>
              </w:rPr>
              <w:t>[</w:t>
            </w:r>
            <w:proofErr w:type="spellStart"/>
            <w:r>
              <w:rPr>
                <w:color w:val="FFFFFF"/>
                <w:sz w:val="19"/>
                <w:szCs w:val="19"/>
              </w:rPr>
              <w:t>counterpartySignerSignature</w:t>
            </w:r>
            <w:proofErr w:type="spellEnd"/>
            <w:r>
              <w:rPr>
                <w:color w:val="FFFFFF"/>
                <w:sz w:val="19"/>
                <w:szCs w:val="19"/>
              </w:rPr>
              <w:t>]</w:t>
            </w:r>
          </w:p>
        </w:tc>
        <w:tc>
          <w:tcPr>
            <w:tcW w:w="5035" w:type="dxa"/>
          </w:tcPr>
          <w:p w14:paraId="03655169" w14:textId="77777777" w:rsidR="003C3664" w:rsidRDefault="00B960B0">
            <w:pPr>
              <w:jc w:val="both"/>
              <w:rPr>
                <w:color w:val="000000"/>
                <w:sz w:val="19"/>
                <w:szCs w:val="19"/>
              </w:rPr>
            </w:pPr>
            <w:r>
              <w:rPr>
                <w:color w:val="000000"/>
                <w:sz w:val="19"/>
                <w:szCs w:val="19"/>
              </w:rPr>
              <w:t xml:space="preserve">By: </w:t>
            </w:r>
            <w:r>
              <w:rPr>
                <w:color w:val="FFFFFF"/>
                <w:sz w:val="19"/>
                <w:szCs w:val="19"/>
              </w:rPr>
              <w:t>[</w:t>
            </w:r>
            <w:proofErr w:type="spellStart"/>
            <w:r>
              <w:rPr>
                <w:color w:val="FFFFFF"/>
                <w:sz w:val="19"/>
                <w:szCs w:val="19"/>
              </w:rPr>
              <w:t>executiveVicePresidentOpcStrategyTechnologySignature</w:t>
            </w:r>
            <w:proofErr w:type="spellEnd"/>
            <w:r>
              <w:rPr>
                <w:color w:val="FFFFFF"/>
                <w:sz w:val="19"/>
                <w:szCs w:val="19"/>
              </w:rPr>
              <w:t>]</w:t>
            </w:r>
          </w:p>
        </w:tc>
      </w:tr>
      <w:tr w:rsidR="003C3664" w14:paraId="4B6CD483" w14:textId="77777777">
        <w:tc>
          <w:tcPr>
            <w:tcW w:w="5035" w:type="dxa"/>
          </w:tcPr>
          <w:p w14:paraId="12835A7D" w14:textId="77777777" w:rsidR="003C3664" w:rsidRDefault="00B960B0">
            <w:pPr>
              <w:jc w:val="both"/>
              <w:rPr>
                <w:color w:val="000000"/>
                <w:sz w:val="19"/>
                <w:szCs w:val="19"/>
              </w:rPr>
            </w:pPr>
            <w:proofErr w:type="gramStart"/>
            <w:r>
              <w:rPr>
                <w:color w:val="000000"/>
                <w:sz w:val="19"/>
                <w:szCs w:val="19"/>
              </w:rPr>
              <w:t>Name:</w:t>
            </w:r>
            <w:r>
              <w:rPr>
                <w:color w:val="FFFFFF"/>
                <w:sz w:val="19"/>
                <w:szCs w:val="19"/>
              </w:rPr>
              <w:t>[</w:t>
            </w:r>
            <w:proofErr w:type="spellStart"/>
            <w:proofErr w:type="gramEnd"/>
            <w:r>
              <w:rPr>
                <w:color w:val="FFFFFF"/>
                <w:sz w:val="19"/>
                <w:szCs w:val="19"/>
              </w:rPr>
              <w:t>counterpartySignerName</w:t>
            </w:r>
            <w:proofErr w:type="spellEnd"/>
            <w:r>
              <w:rPr>
                <w:color w:val="FFFFFF"/>
                <w:sz w:val="19"/>
                <w:szCs w:val="19"/>
              </w:rPr>
              <w:t>]</w:t>
            </w:r>
          </w:p>
        </w:tc>
        <w:tc>
          <w:tcPr>
            <w:tcW w:w="5035" w:type="dxa"/>
          </w:tcPr>
          <w:p w14:paraId="5433345E" w14:textId="6EADF15A" w:rsidR="003C3664" w:rsidRDefault="00B960B0">
            <w:pPr>
              <w:jc w:val="both"/>
              <w:rPr>
                <w:color w:val="000000"/>
                <w:sz w:val="19"/>
                <w:szCs w:val="19"/>
              </w:rPr>
            </w:pPr>
            <w:r>
              <w:rPr>
                <w:color w:val="000000"/>
                <w:sz w:val="19"/>
                <w:szCs w:val="19"/>
              </w:rPr>
              <w:t xml:space="preserve">Name: </w:t>
            </w:r>
          </w:p>
        </w:tc>
      </w:tr>
      <w:tr w:rsidR="003C3664" w14:paraId="018838F7" w14:textId="77777777">
        <w:tc>
          <w:tcPr>
            <w:tcW w:w="5035" w:type="dxa"/>
          </w:tcPr>
          <w:p w14:paraId="292181AE" w14:textId="77777777" w:rsidR="003C3664" w:rsidRDefault="00B960B0">
            <w:pPr>
              <w:jc w:val="both"/>
              <w:rPr>
                <w:color w:val="000000"/>
                <w:sz w:val="19"/>
                <w:szCs w:val="19"/>
              </w:rPr>
            </w:pPr>
            <w:r>
              <w:rPr>
                <w:color w:val="000000"/>
                <w:sz w:val="19"/>
                <w:szCs w:val="19"/>
              </w:rPr>
              <w:t xml:space="preserve">Title: </w:t>
            </w:r>
            <w:r>
              <w:rPr>
                <w:color w:val="FFFFFF"/>
                <w:sz w:val="19"/>
                <w:szCs w:val="19"/>
              </w:rPr>
              <w:t>[</w:t>
            </w:r>
            <w:proofErr w:type="spellStart"/>
            <w:r>
              <w:rPr>
                <w:color w:val="FFFFFF"/>
                <w:sz w:val="19"/>
                <w:szCs w:val="19"/>
              </w:rPr>
              <w:t>counterpartySignerTitle</w:t>
            </w:r>
            <w:proofErr w:type="spellEnd"/>
            <w:r>
              <w:rPr>
                <w:color w:val="FFFFFF"/>
                <w:sz w:val="19"/>
                <w:szCs w:val="19"/>
              </w:rPr>
              <w:t>]</w:t>
            </w:r>
          </w:p>
        </w:tc>
        <w:tc>
          <w:tcPr>
            <w:tcW w:w="5035" w:type="dxa"/>
          </w:tcPr>
          <w:p w14:paraId="0578ACC2" w14:textId="221109E6" w:rsidR="003C3664" w:rsidRDefault="00B960B0">
            <w:pPr>
              <w:jc w:val="both"/>
              <w:rPr>
                <w:color w:val="000000"/>
                <w:sz w:val="19"/>
                <w:szCs w:val="19"/>
              </w:rPr>
            </w:pPr>
            <w:r>
              <w:rPr>
                <w:color w:val="000000"/>
                <w:sz w:val="19"/>
                <w:szCs w:val="19"/>
              </w:rPr>
              <w:t xml:space="preserve">Title: </w:t>
            </w:r>
          </w:p>
        </w:tc>
      </w:tr>
      <w:tr w:rsidR="003C3664" w14:paraId="11B39880" w14:textId="77777777">
        <w:tc>
          <w:tcPr>
            <w:tcW w:w="5035" w:type="dxa"/>
          </w:tcPr>
          <w:p w14:paraId="61FE0ED4" w14:textId="77777777" w:rsidR="003C3664" w:rsidRDefault="00B960B0">
            <w:pPr>
              <w:jc w:val="both"/>
              <w:rPr>
                <w:color w:val="000000"/>
                <w:sz w:val="19"/>
                <w:szCs w:val="19"/>
              </w:rPr>
            </w:pPr>
            <w:proofErr w:type="gramStart"/>
            <w:r>
              <w:rPr>
                <w:color w:val="000000"/>
                <w:sz w:val="19"/>
                <w:szCs w:val="19"/>
              </w:rPr>
              <w:t>Address:</w:t>
            </w:r>
            <w:r>
              <w:rPr>
                <w:color w:val="FFFFFF"/>
                <w:sz w:val="19"/>
                <w:szCs w:val="19"/>
              </w:rPr>
              <w:t>[</w:t>
            </w:r>
            <w:proofErr w:type="spellStart"/>
            <w:proofErr w:type="gramEnd"/>
            <w:r>
              <w:rPr>
                <w:color w:val="FFFFFF"/>
                <w:sz w:val="19"/>
                <w:szCs w:val="19"/>
              </w:rPr>
              <w:t>counterpartySignerTextField</w:t>
            </w:r>
            <w:proofErr w:type="spellEnd"/>
            <w:r>
              <w:rPr>
                <w:color w:val="FFFFFF"/>
                <w:sz w:val="19"/>
                <w:szCs w:val="19"/>
              </w:rPr>
              <w:t>]</w:t>
            </w:r>
          </w:p>
        </w:tc>
        <w:tc>
          <w:tcPr>
            <w:tcW w:w="5035" w:type="dxa"/>
          </w:tcPr>
          <w:p w14:paraId="6A8BD692" w14:textId="7828F480" w:rsidR="003C3664" w:rsidRDefault="00B960B0">
            <w:pPr>
              <w:jc w:val="both"/>
              <w:rPr>
                <w:color w:val="000000"/>
                <w:sz w:val="19"/>
                <w:szCs w:val="19"/>
              </w:rPr>
            </w:pPr>
            <w:r>
              <w:rPr>
                <w:color w:val="000000"/>
                <w:sz w:val="19"/>
                <w:szCs w:val="19"/>
              </w:rPr>
              <w:t xml:space="preserve">Address: </w:t>
            </w:r>
          </w:p>
        </w:tc>
      </w:tr>
      <w:tr w:rsidR="003C3664" w14:paraId="025D9591" w14:textId="77777777">
        <w:tc>
          <w:tcPr>
            <w:tcW w:w="5035" w:type="dxa"/>
          </w:tcPr>
          <w:p w14:paraId="31EE2AD6" w14:textId="77777777" w:rsidR="003C3664" w:rsidRDefault="00B960B0">
            <w:pPr>
              <w:jc w:val="both"/>
              <w:rPr>
                <w:color w:val="000000"/>
                <w:sz w:val="19"/>
                <w:szCs w:val="19"/>
              </w:rPr>
            </w:pPr>
            <w:proofErr w:type="gramStart"/>
            <w:r>
              <w:rPr>
                <w:color w:val="000000"/>
                <w:sz w:val="19"/>
                <w:szCs w:val="19"/>
              </w:rPr>
              <w:t>Email:</w:t>
            </w:r>
            <w:r>
              <w:rPr>
                <w:color w:val="FFFFFF"/>
                <w:sz w:val="19"/>
                <w:szCs w:val="19"/>
              </w:rPr>
              <w:t>[</w:t>
            </w:r>
            <w:proofErr w:type="spellStart"/>
            <w:proofErr w:type="gramEnd"/>
            <w:r>
              <w:rPr>
                <w:color w:val="FFFFFF"/>
                <w:sz w:val="19"/>
                <w:szCs w:val="19"/>
              </w:rPr>
              <w:t>counterpartySignerEmail</w:t>
            </w:r>
            <w:proofErr w:type="spellEnd"/>
            <w:r>
              <w:rPr>
                <w:color w:val="FFFFFF"/>
                <w:sz w:val="19"/>
                <w:szCs w:val="19"/>
              </w:rPr>
              <w:t>]</w:t>
            </w:r>
          </w:p>
        </w:tc>
        <w:tc>
          <w:tcPr>
            <w:tcW w:w="5035" w:type="dxa"/>
          </w:tcPr>
          <w:p w14:paraId="18EE2066" w14:textId="3D77B8DE" w:rsidR="003C3664" w:rsidRDefault="00B960B0">
            <w:pPr>
              <w:jc w:val="both"/>
              <w:rPr>
                <w:color w:val="000000"/>
                <w:sz w:val="19"/>
                <w:szCs w:val="19"/>
              </w:rPr>
            </w:pPr>
            <w:r>
              <w:rPr>
                <w:color w:val="000000"/>
                <w:sz w:val="19"/>
                <w:szCs w:val="19"/>
              </w:rPr>
              <w:t>Email:</w:t>
            </w:r>
          </w:p>
        </w:tc>
      </w:tr>
    </w:tbl>
    <w:p w14:paraId="5B3F8B1B" w14:textId="77777777" w:rsidR="003C3664" w:rsidRDefault="003C3664">
      <w:pPr>
        <w:tabs>
          <w:tab w:val="left" w:pos="360"/>
        </w:tabs>
        <w:jc w:val="both"/>
        <w:rPr>
          <w:color w:val="000000"/>
          <w:sz w:val="19"/>
          <w:szCs w:val="19"/>
        </w:rPr>
      </w:pPr>
    </w:p>
    <w:p w14:paraId="2622DF44" w14:textId="5EAC82DA" w:rsidR="003C3664" w:rsidRDefault="003C3664">
      <w:pPr>
        <w:tabs>
          <w:tab w:val="left" w:pos="360"/>
        </w:tabs>
        <w:jc w:val="both"/>
        <w:rPr>
          <w:color w:val="000000"/>
          <w:sz w:val="19"/>
          <w:szCs w:val="19"/>
        </w:rPr>
        <w:sectPr w:rsidR="003C3664">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equalWidth="0">
            <w:col w:w="9360"/>
          </w:cols>
          <w:titlePg/>
        </w:sectPr>
      </w:pPr>
    </w:p>
    <w:p w14:paraId="22DC084D" w14:textId="77777777" w:rsidR="003C3664" w:rsidRDefault="00B960B0">
      <w:pPr>
        <w:tabs>
          <w:tab w:val="left" w:pos="360"/>
        </w:tabs>
        <w:jc w:val="both"/>
        <w:rPr>
          <w:color w:val="000000"/>
          <w:sz w:val="19"/>
          <w:szCs w:val="19"/>
        </w:rPr>
        <w:sectPr w:rsidR="003C3664">
          <w:type w:val="continuous"/>
          <w:pgSz w:w="12240" w:h="15840"/>
          <w:pgMar w:top="1080" w:right="1080" w:bottom="1080" w:left="1080" w:header="720" w:footer="720" w:gutter="0"/>
          <w:pgNumType w:start="1"/>
          <w:cols w:space="720" w:equalWidth="0">
            <w:col w:w="9360"/>
          </w:cols>
          <w:titlePg/>
        </w:sectPr>
      </w:pPr>
      <w:r>
        <w:rPr>
          <w:color w:val="000000"/>
          <w:sz w:val="19"/>
          <w:szCs w:val="19"/>
        </w:rPr>
        <w:br/>
      </w:r>
    </w:p>
    <w:p w14:paraId="6E372838" w14:textId="00EA05CB" w:rsidR="003C3664" w:rsidRDefault="00B960B0">
      <w:pPr>
        <w:numPr>
          <w:ilvl w:val="0"/>
          <w:numId w:val="2"/>
        </w:numPr>
        <w:pBdr>
          <w:top w:val="nil"/>
          <w:left w:val="nil"/>
          <w:bottom w:val="nil"/>
          <w:right w:val="nil"/>
          <w:between w:val="nil"/>
        </w:pBdr>
        <w:spacing w:after="60"/>
        <w:ind w:left="187" w:hanging="187"/>
        <w:jc w:val="both"/>
        <w:rPr>
          <w:rFonts w:ascii="Verdana" w:eastAsia="Verdana" w:hAnsi="Verdana" w:cs="Verdana"/>
          <w:color w:val="000000"/>
          <w:sz w:val="16"/>
          <w:szCs w:val="16"/>
        </w:rPr>
      </w:pPr>
      <w:r>
        <w:rPr>
          <w:rFonts w:ascii="Verdana" w:eastAsia="Verdana" w:hAnsi="Verdana" w:cs="Verdana"/>
          <w:color w:val="000000"/>
          <w:sz w:val="16"/>
          <w:szCs w:val="16"/>
          <w:u w:val="single"/>
        </w:rPr>
        <w:lastRenderedPageBreak/>
        <w:t>Term and Termination</w:t>
      </w:r>
      <w:r>
        <w:rPr>
          <w:rFonts w:ascii="Verdana" w:eastAsia="Verdana" w:hAnsi="Verdana" w:cs="Verdana"/>
          <w:color w:val="000000"/>
          <w:sz w:val="16"/>
          <w:szCs w:val="16"/>
        </w:rPr>
        <w:t>.</w:t>
      </w:r>
      <w:r>
        <w:rPr>
          <w:rFonts w:ascii="Verdana" w:eastAsia="Verdana" w:hAnsi="Verdana" w:cs="Verdana"/>
          <w:b/>
          <w:color w:val="000000"/>
          <w:sz w:val="16"/>
          <w:szCs w:val="16"/>
        </w:rPr>
        <w:t xml:space="preserve"> </w:t>
      </w:r>
      <w:r>
        <w:rPr>
          <w:rFonts w:ascii="Verdana" w:eastAsia="Verdana" w:hAnsi="Verdana" w:cs="Verdana"/>
          <w:color w:val="000000"/>
          <w:sz w:val="16"/>
          <w:szCs w:val="16"/>
        </w:rPr>
        <w:t>This Agreement shall remain in full force and effect from the effective date of the attached Statement of Work (“</w:t>
      </w:r>
      <w:r>
        <w:rPr>
          <w:rFonts w:ascii="Verdana" w:eastAsia="Verdana" w:hAnsi="Verdana" w:cs="Verdana"/>
          <w:color w:val="000000"/>
          <w:sz w:val="16"/>
          <w:szCs w:val="16"/>
          <w:u w:val="single"/>
        </w:rPr>
        <w:t>SOW</w:t>
      </w:r>
      <w:r>
        <w:rPr>
          <w:rFonts w:ascii="Verdana" w:eastAsia="Verdana" w:hAnsi="Verdana" w:cs="Verdana"/>
          <w:color w:val="000000"/>
          <w:sz w:val="16"/>
          <w:szCs w:val="16"/>
        </w:rPr>
        <w:t>”) until the earliest to occur of (</w:t>
      </w:r>
      <w:proofErr w:type="spellStart"/>
      <w:r>
        <w:rPr>
          <w:rFonts w:ascii="Verdana" w:eastAsia="Verdana" w:hAnsi="Verdana" w:cs="Verdana"/>
          <w:color w:val="000000"/>
          <w:sz w:val="16"/>
          <w:szCs w:val="16"/>
        </w:rPr>
        <w:t>i</w:t>
      </w:r>
      <w:proofErr w:type="spellEnd"/>
      <w:r>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’s completion of the </w:t>
      </w:r>
      <w:r w:rsidR="005A447A">
        <w:rPr>
          <w:rFonts w:ascii="Verdana" w:eastAsia="Verdana" w:hAnsi="Verdana" w:cs="Verdana"/>
          <w:color w:val="000000"/>
          <w:sz w:val="16"/>
          <w:szCs w:val="16"/>
        </w:rPr>
        <w:t>S</w:t>
      </w:r>
      <w:r>
        <w:rPr>
          <w:rFonts w:ascii="Verdana" w:eastAsia="Verdana" w:hAnsi="Verdana" w:cs="Verdana"/>
          <w:color w:val="000000"/>
          <w:sz w:val="16"/>
          <w:szCs w:val="16"/>
        </w:rPr>
        <w:t>ervices described in the SOW or (ii) termination of the Agreement pursuant to the terms of the Agreement.</w:t>
      </w:r>
      <w:bookmarkStart w:id="0" w:name="_Hlk90218340"/>
      <w:r>
        <w:rPr>
          <w:rFonts w:ascii="Verdana" w:eastAsia="Verdana" w:hAnsi="Verdana" w:cs="Verdana"/>
          <w:color w:val="000000"/>
          <w:sz w:val="16"/>
          <w:szCs w:val="16"/>
        </w:rPr>
        <w:t xml:space="preserve"> </w:t>
      </w:r>
      <w:bookmarkEnd w:id="0"/>
      <w:r w:rsidR="00A64D58">
        <w:rPr>
          <w:rFonts w:ascii="Verdana" w:eastAsia="Verdana" w:hAnsi="Verdana" w:cs="Verdana"/>
          <w:color w:val="000000"/>
          <w:sz w:val="16"/>
          <w:szCs w:val="16"/>
        </w:rPr>
        <w:t xml:space="preserve">Each Party </w:t>
      </w:r>
      <w:r>
        <w:rPr>
          <w:rFonts w:ascii="Verdana" w:eastAsia="Verdana" w:hAnsi="Verdana" w:cs="Verdana"/>
          <w:color w:val="000000"/>
          <w:sz w:val="16"/>
          <w:szCs w:val="16"/>
        </w:rPr>
        <w:t xml:space="preserve">shall have the right to terminate this Agreement if a breach of any material obligation of the </w:t>
      </w:r>
      <w:r w:rsidR="00A64D58">
        <w:rPr>
          <w:rFonts w:ascii="Verdana" w:eastAsia="Verdana" w:hAnsi="Verdana" w:cs="Verdana"/>
          <w:color w:val="000000"/>
          <w:sz w:val="16"/>
          <w:szCs w:val="16"/>
        </w:rPr>
        <w:t xml:space="preserve">other Party </w:t>
      </w:r>
      <w:r>
        <w:rPr>
          <w:rFonts w:ascii="Verdana" w:eastAsia="Verdana" w:hAnsi="Verdana" w:cs="Verdana"/>
          <w:color w:val="000000"/>
          <w:sz w:val="16"/>
          <w:szCs w:val="16"/>
        </w:rPr>
        <w:t xml:space="preserve">under this Agreement exists, and such breach has not been remedied or cured within 30 days of the </w:t>
      </w:r>
      <w:r w:rsidR="00A64D58">
        <w:rPr>
          <w:rFonts w:ascii="Verdana" w:eastAsia="Verdana" w:hAnsi="Verdana" w:cs="Verdana"/>
          <w:color w:val="000000"/>
          <w:sz w:val="16"/>
          <w:szCs w:val="16"/>
        </w:rPr>
        <w:t>other Party</w:t>
      </w:r>
      <w:r>
        <w:rPr>
          <w:rFonts w:ascii="Verdana" w:eastAsia="Verdana" w:hAnsi="Verdana" w:cs="Verdana"/>
          <w:color w:val="000000"/>
          <w:sz w:val="16"/>
          <w:szCs w:val="16"/>
        </w:rPr>
        <w:t>’s receipt of written notice thereof.</w:t>
      </w:r>
    </w:p>
    <w:p w14:paraId="550ED9AA" w14:textId="1D9043D4" w:rsidR="003C3664" w:rsidRDefault="00B960B0">
      <w:pPr>
        <w:numPr>
          <w:ilvl w:val="0"/>
          <w:numId w:val="2"/>
        </w:numPr>
        <w:pBdr>
          <w:top w:val="nil"/>
          <w:left w:val="nil"/>
          <w:bottom w:val="nil"/>
          <w:right w:val="nil"/>
          <w:between w:val="nil"/>
        </w:pBdr>
        <w:ind w:left="180" w:hanging="180"/>
        <w:jc w:val="both"/>
        <w:rPr>
          <w:rFonts w:ascii="Verdana" w:eastAsia="Verdana" w:hAnsi="Verdana" w:cs="Verdana"/>
          <w:color w:val="000000"/>
          <w:sz w:val="16"/>
          <w:szCs w:val="16"/>
        </w:rPr>
      </w:pPr>
      <w:r>
        <w:rPr>
          <w:rFonts w:ascii="Verdana" w:eastAsia="Verdana" w:hAnsi="Verdana" w:cs="Verdana"/>
          <w:sz w:val="16"/>
          <w:szCs w:val="16"/>
          <w:u w:val="single"/>
        </w:rPr>
        <w:t>Invoices</w:t>
      </w:r>
      <w:r>
        <w:rPr>
          <w:rFonts w:ascii="Verdana" w:eastAsia="Verdana" w:hAnsi="Verdana" w:cs="Verdana"/>
          <w:color w:val="000000"/>
          <w:sz w:val="16"/>
          <w:szCs w:val="16"/>
        </w:rPr>
        <w:t xml:space="preserve">. </w:t>
      </w:r>
      <w:r w:rsidR="00A64D58">
        <w:rPr>
          <w:rFonts w:ascii="Verdana" w:eastAsia="Verdana" w:hAnsi="Verdana" w:cs="Verdana"/>
          <w:color w:val="000000"/>
          <w:sz w:val="16"/>
          <w:szCs w:val="16"/>
        </w:rPr>
        <w:t xml:space="preserve">Unless otherwise set forth in an SOW, </w:t>
      </w:r>
      <w:r>
        <w:rPr>
          <w:rFonts w:ascii="Verdana" w:eastAsia="Verdana" w:hAnsi="Verdana" w:cs="Verdana"/>
          <w:color w:val="000000"/>
          <w:sz w:val="16"/>
          <w:szCs w:val="16"/>
        </w:rPr>
        <w:t xml:space="preserve">Invoices shall be due and payable thirty (30) days after receipt of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’s invoice by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in accordance with the terms and conditions of the applicable SOW, and all invoices shall include payment instructions and such other information reasonably requested by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w:t>
      </w:r>
      <w:r w:rsidR="007347D1">
        <w:rPr>
          <w:rFonts w:ascii="Verdana" w:eastAsia="Verdana" w:hAnsi="Verdana" w:cs="Verdana"/>
          <w:color w:val="000000"/>
          <w:sz w:val="16"/>
          <w:szCs w:val="16"/>
        </w:rPr>
        <w:t xml:space="preserve">  </w:t>
      </w:r>
      <w:proofErr w:type="gramStart"/>
      <w:r w:rsidR="00443DBD">
        <w:rPr>
          <w:rFonts w:ascii="Verdana" w:eastAsia="Verdana" w:hAnsi="Verdana" w:cs="Verdana"/>
          <w:color w:val="000000"/>
          <w:sz w:val="16"/>
          <w:szCs w:val="16"/>
        </w:rPr>
        <w:t>In the event that</w:t>
      </w:r>
      <w:proofErr w:type="gramEnd"/>
      <w:r w:rsidR="00443DBD">
        <w:rPr>
          <w:rFonts w:ascii="Verdana" w:eastAsia="Verdana" w:hAnsi="Verdana" w:cs="Verdana"/>
          <w:color w:val="000000"/>
          <w:sz w:val="16"/>
          <w:szCs w:val="16"/>
        </w:rPr>
        <w:t xml:space="preserve"> payment is not received on a timely basis, </w:t>
      </w:r>
      <w:r w:rsidR="00590F85">
        <w:rPr>
          <w:rFonts w:ascii="Verdana" w:eastAsia="Verdana" w:hAnsi="Verdana" w:cs="Verdana"/>
          <w:color w:val="000000"/>
          <w:sz w:val="16"/>
          <w:szCs w:val="16"/>
        </w:rPr>
        <w:t>Crispr QC</w:t>
      </w:r>
      <w:r w:rsidR="00443DBD">
        <w:rPr>
          <w:rFonts w:ascii="Verdana" w:eastAsia="Verdana" w:hAnsi="Verdana" w:cs="Verdana"/>
          <w:color w:val="000000"/>
          <w:sz w:val="16"/>
          <w:szCs w:val="16"/>
        </w:rPr>
        <w:t xml:space="preserve"> reserves the right to cease all Services until such time that payment is made in full; additionally, Company shall be responsible for all collection and legal fees </w:t>
      </w:r>
      <w:r w:rsidR="009E605E">
        <w:rPr>
          <w:rFonts w:ascii="Verdana" w:eastAsia="Verdana" w:hAnsi="Verdana" w:cs="Verdana"/>
          <w:color w:val="000000"/>
          <w:sz w:val="16"/>
          <w:szCs w:val="16"/>
        </w:rPr>
        <w:t xml:space="preserve">and expenses </w:t>
      </w:r>
      <w:r w:rsidR="00443DBD">
        <w:rPr>
          <w:rFonts w:ascii="Verdana" w:eastAsia="Verdana" w:hAnsi="Verdana" w:cs="Verdana"/>
          <w:color w:val="000000"/>
          <w:sz w:val="16"/>
          <w:szCs w:val="16"/>
        </w:rPr>
        <w:t xml:space="preserve">associated with late payment or non-payment.  </w:t>
      </w:r>
      <w:r w:rsidR="002462A5">
        <w:rPr>
          <w:rFonts w:ascii="Verdana" w:eastAsia="Verdana" w:hAnsi="Verdana" w:cs="Verdana"/>
          <w:color w:val="000000"/>
          <w:sz w:val="16"/>
          <w:szCs w:val="16"/>
        </w:rPr>
        <w:t xml:space="preserve">Late payments shall accrue interest at the rate of 18% a year, or the largest amount permitted by law.  </w:t>
      </w:r>
      <w:r w:rsidR="007347D1">
        <w:rPr>
          <w:rFonts w:ascii="Verdana" w:eastAsia="Verdana" w:hAnsi="Verdana" w:cs="Verdana"/>
          <w:color w:val="000000"/>
          <w:sz w:val="16"/>
          <w:szCs w:val="16"/>
        </w:rPr>
        <w:t>Services are non-cancellable and non-refundable other than due to an uncured material breach pursuant to the terms and conditions set forth in Section 1.</w:t>
      </w:r>
      <w:r>
        <w:rPr>
          <w:rFonts w:ascii="Verdana" w:eastAsia="Verdana" w:hAnsi="Verdana" w:cs="Verdana"/>
          <w:color w:val="000000"/>
          <w:sz w:val="16"/>
          <w:szCs w:val="16"/>
        </w:rPr>
        <w:t xml:space="preserve"> </w:t>
      </w:r>
    </w:p>
    <w:p w14:paraId="35C12932" w14:textId="0157710F" w:rsidR="003C3664" w:rsidRDefault="00A14BB3">
      <w:pPr>
        <w:numPr>
          <w:ilvl w:val="0"/>
          <w:numId w:val="2"/>
        </w:numPr>
        <w:pBdr>
          <w:top w:val="nil"/>
          <w:left w:val="nil"/>
          <w:bottom w:val="nil"/>
          <w:right w:val="nil"/>
          <w:between w:val="nil"/>
        </w:pBdr>
        <w:spacing w:after="60"/>
        <w:ind w:left="180" w:hanging="180"/>
        <w:jc w:val="both"/>
        <w:rPr>
          <w:rFonts w:ascii="Verdana" w:eastAsia="Verdana" w:hAnsi="Verdana" w:cs="Verdana"/>
          <w:color w:val="000000"/>
          <w:sz w:val="16"/>
          <w:szCs w:val="16"/>
        </w:rPr>
      </w:pPr>
      <w:r>
        <w:rPr>
          <w:rFonts w:ascii="Verdana" w:eastAsia="Verdana" w:hAnsi="Verdana" w:cs="Verdana"/>
          <w:color w:val="000000"/>
          <w:sz w:val="16"/>
          <w:szCs w:val="16"/>
          <w:u w:val="single"/>
        </w:rPr>
        <w:t>Warranty and Disclaimer</w:t>
      </w:r>
      <w:r w:rsidR="00B960B0">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sidR="00B960B0">
        <w:rPr>
          <w:rFonts w:ascii="Verdana" w:eastAsia="Verdana" w:hAnsi="Verdana" w:cs="Verdana"/>
          <w:color w:val="000000"/>
          <w:sz w:val="16"/>
          <w:szCs w:val="16"/>
        </w:rPr>
        <w:t xml:space="preserve"> represents, </w:t>
      </w:r>
      <w:proofErr w:type="gramStart"/>
      <w:r w:rsidR="00B960B0">
        <w:rPr>
          <w:rFonts w:ascii="Verdana" w:eastAsia="Verdana" w:hAnsi="Verdana" w:cs="Verdana"/>
          <w:color w:val="000000"/>
          <w:sz w:val="16"/>
          <w:szCs w:val="16"/>
        </w:rPr>
        <w:t>warrants</w:t>
      </w:r>
      <w:proofErr w:type="gramEnd"/>
      <w:r w:rsidR="00B960B0">
        <w:rPr>
          <w:rFonts w:ascii="Verdana" w:eastAsia="Verdana" w:hAnsi="Verdana" w:cs="Verdana"/>
          <w:color w:val="000000"/>
          <w:sz w:val="16"/>
          <w:szCs w:val="16"/>
        </w:rPr>
        <w:t xml:space="preserve"> and covenants to the </w:t>
      </w:r>
      <w:r w:rsidR="00F6118E">
        <w:rPr>
          <w:rFonts w:ascii="Verdana" w:eastAsia="Verdana" w:hAnsi="Verdana" w:cs="Verdana"/>
          <w:color w:val="000000"/>
          <w:sz w:val="16"/>
          <w:szCs w:val="16"/>
        </w:rPr>
        <w:t>Company</w:t>
      </w:r>
      <w:r w:rsidR="00B960B0">
        <w:rPr>
          <w:rFonts w:ascii="Verdana" w:eastAsia="Verdana" w:hAnsi="Verdana" w:cs="Verdana"/>
          <w:color w:val="000000"/>
          <w:sz w:val="16"/>
          <w:szCs w:val="16"/>
        </w:rPr>
        <w:t xml:space="preserve"> that</w:t>
      </w:r>
      <w:r w:rsidR="00A64D58">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sidR="00B960B0">
        <w:rPr>
          <w:rFonts w:ascii="Verdana" w:eastAsia="Verdana" w:hAnsi="Verdana" w:cs="Verdana"/>
          <w:color w:val="000000"/>
          <w:sz w:val="16"/>
          <w:szCs w:val="16"/>
        </w:rPr>
        <w:t xml:space="preserve"> shall perform the Services using qualified personnel of required skill, experience and qualifications, and in a professional and workmanlike manner in accordance with industry standards for similar services.</w:t>
      </w:r>
      <w:r>
        <w:rPr>
          <w:rFonts w:ascii="Verdana" w:eastAsia="Verdana" w:hAnsi="Verdana" w:cs="Verdana"/>
          <w:color w:val="000000"/>
          <w:sz w:val="16"/>
          <w:szCs w:val="16"/>
        </w:rPr>
        <w:t xml:space="preserve">  OTHER THAN THE FOREGOING WARRANTY, </w:t>
      </w:r>
      <w:r w:rsidRPr="00A14BB3">
        <w:rPr>
          <w:rFonts w:ascii="Verdana" w:hAnsi="Verdana" w:cs="Arial"/>
          <w:sz w:val="16"/>
          <w:szCs w:val="16"/>
        </w:rPr>
        <w:t xml:space="preserve">ALL SERVICES ARE PROVIDED ON AN “AS IS” AND “AS AVAILABLE” BASIS, AND </w:t>
      </w:r>
      <w:r w:rsidR="00590F85">
        <w:rPr>
          <w:rFonts w:ascii="Verdana" w:hAnsi="Verdana" w:cs="Arial"/>
          <w:sz w:val="16"/>
          <w:szCs w:val="16"/>
        </w:rPr>
        <w:t>CRISPR QC</w:t>
      </w:r>
      <w:r>
        <w:rPr>
          <w:rFonts w:ascii="Verdana" w:hAnsi="Verdana" w:cs="Arial"/>
          <w:sz w:val="16"/>
          <w:szCs w:val="16"/>
        </w:rPr>
        <w:t xml:space="preserve"> </w:t>
      </w:r>
      <w:r w:rsidRPr="00A14BB3">
        <w:rPr>
          <w:rFonts w:ascii="Verdana" w:hAnsi="Verdana" w:cs="Arial"/>
          <w:sz w:val="16"/>
          <w:szCs w:val="16"/>
        </w:rPr>
        <w:t xml:space="preserve">DOES NOT MAKE ANY WARRANTIES, EXPRESS OR IMPLIED, WITH RESPECT TO THE SERVICES </w:t>
      </w:r>
      <w:r>
        <w:rPr>
          <w:rFonts w:ascii="Verdana" w:hAnsi="Verdana" w:cs="Arial"/>
          <w:sz w:val="16"/>
          <w:szCs w:val="16"/>
        </w:rPr>
        <w:t>P</w:t>
      </w:r>
      <w:r w:rsidRPr="00A14BB3">
        <w:rPr>
          <w:rFonts w:ascii="Verdana" w:hAnsi="Verdana" w:cs="Arial"/>
          <w:sz w:val="16"/>
          <w:szCs w:val="16"/>
        </w:rPr>
        <w:t xml:space="preserve">ROVIDED HEREUNDER.  </w:t>
      </w:r>
      <w:r w:rsidR="00590F85">
        <w:rPr>
          <w:rFonts w:ascii="Verdana" w:hAnsi="Verdana" w:cs="Arial"/>
          <w:sz w:val="16"/>
          <w:szCs w:val="16"/>
        </w:rPr>
        <w:t>CRISPR QC</w:t>
      </w:r>
      <w:r>
        <w:rPr>
          <w:rFonts w:ascii="Verdana" w:hAnsi="Verdana" w:cs="Arial"/>
          <w:sz w:val="16"/>
          <w:szCs w:val="16"/>
        </w:rPr>
        <w:t xml:space="preserve"> </w:t>
      </w:r>
      <w:r w:rsidRPr="00A14BB3">
        <w:rPr>
          <w:rFonts w:ascii="Verdana" w:hAnsi="Verdana" w:cs="Arial"/>
          <w:sz w:val="16"/>
          <w:szCs w:val="16"/>
        </w:rPr>
        <w:t xml:space="preserve">DISCLAIMS ALL WARRANTIES, EXPRESS AND IMPLIED, INCLUDING WITHOUT LIMITATION THE IMPLIED WARRANTIES OF MERCHANTABILITY, FITNESS FOR A PARTICULAR PURPOSE AND NON-INFRINGEMENT.  </w:t>
      </w:r>
      <w:r w:rsidR="00590F85">
        <w:rPr>
          <w:rFonts w:ascii="Verdana" w:hAnsi="Verdana" w:cs="Arial"/>
          <w:sz w:val="16"/>
          <w:szCs w:val="16"/>
        </w:rPr>
        <w:t>CRISPR QC</w:t>
      </w:r>
      <w:r w:rsidR="00752D76">
        <w:rPr>
          <w:rFonts w:ascii="Verdana" w:hAnsi="Verdana" w:cs="Arial"/>
          <w:sz w:val="16"/>
          <w:szCs w:val="16"/>
        </w:rPr>
        <w:t xml:space="preserve"> </w:t>
      </w:r>
      <w:r w:rsidRPr="00A14BB3">
        <w:rPr>
          <w:rFonts w:ascii="Verdana" w:eastAsia="Arial" w:hAnsi="Verdana" w:cs="Arial"/>
          <w:sz w:val="16"/>
          <w:szCs w:val="16"/>
        </w:rPr>
        <w:t xml:space="preserve">DOES NOT GUARANTY ANY SPECIFIC RESULTS </w:t>
      </w:r>
      <w:proofErr w:type="gramStart"/>
      <w:r w:rsidRPr="00A14BB3">
        <w:rPr>
          <w:rFonts w:ascii="Verdana" w:eastAsia="Arial" w:hAnsi="Verdana" w:cs="Arial"/>
          <w:sz w:val="16"/>
          <w:szCs w:val="16"/>
        </w:rPr>
        <w:t>IN REGARDS TO</w:t>
      </w:r>
      <w:proofErr w:type="gramEnd"/>
      <w:r w:rsidRPr="00A14BB3">
        <w:rPr>
          <w:rFonts w:ascii="Verdana" w:eastAsia="Arial" w:hAnsi="Verdana" w:cs="Arial"/>
          <w:sz w:val="16"/>
          <w:szCs w:val="16"/>
        </w:rPr>
        <w:t xml:space="preserve"> THE SERVICES.  </w:t>
      </w:r>
      <w:r w:rsidRPr="00A14BB3">
        <w:rPr>
          <w:rFonts w:ascii="Verdana" w:hAnsi="Verdana" w:cs="Arial"/>
          <w:sz w:val="16"/>
          <w:szCs w:val="16"/>
        </w:rPr>
        <w:t xml:space="preserve"> </w:t>
      </w:r>
    </w:p>
    <w:p w14:paraId="410333FD" w14:textId="0A4109F7" w:rsidR="006372FF" w:rsidRPr="00C5352F" w:rsidRDefault="00B960B0" w:rsidP="00C5352F">
      <w:pPr>
        <w:pStyle w:val="ListParagraph"/>
        <w:numPr>
          <w:ilvl w:val="0"/>
          <w:numId w:val="2"/>
        </w:numPr>
        <w:pBdr>
          <w:top w:val="nil"/>
          <w:left w:val="nil"/>
          <w:bottom w:val="nil"/>
          <w:right w:val="nil"/>
          <w:between w:val="nil"/>
        </w:pBdr>
        <w:spacing w:after="60"/>
        <w:ind w:left="180" w:hanging="270"/>
        <w:jc w:val="both"/>
        <w:rPr>
          <w:rFonts w:ascii="Verdana" w:eastAsia="Verdana" w:hAnsi="Verdana" w:cs="Verdana"/>
          <w:color w:val="000000"/>
          <w:sz w:val="16"/>
          <w:szCs w:val="16"/>
        </w:rPr>
      </w:pPr>
      <w:r>
        <w:rPr>
          <w:rFonts w:ascii="Verdana" w:eastAsia="Verdana" w:hAnsi="Verdana" w:cs="Verdana"/>
          <w:color w:val="000000"/>
          <w:sz w:val="16"/>
          <w:szCs w:val="16"/>
          <w:u w:val="single"/>
        </w:rPr>
        <w:t>Ownership of Work</w:t>
      </w:r>
      <w:r>
        <w:rPr>
          <w:rFonts w:ascii="Verdana" w:eastAsia="Verdana" w:hAnsi="Verdana" w:cs="Verdana"/>
          <w:color w:val="000000"/>
          <w:sz w:val="16"/>
          <w:szCs w:val="16"/>
        </w:rPr>
        <w:t>.</w:t>
      </w:r>
      <w:r w:rsidR="00175D49">
        <w:rPr>
          <w:rFonts w:ascii="Verdana" w:eastAsia="Verdana" w:hAnsi="Verdana" w:cs="Verdana"/>
          <w:color w:val="000000"/>
          <w:sz w:val="16"/>
          <w:szCs w:val="16"/>
        </w:rPr>
        <w:t xml:space="preserve">  </w:t>
      </w:r>
      <w:r w:rsidR="00F6118E" w:rsidRPr="004A4C09">
        <w:rPr>
          <w:rFonts w:ascii="Verdana" w:eastAsia="Verdana" w:hAnsi="Verdana" w:cs="Verdana"/>
          <w:color w:val="000000"/>
          <w:sz w:val="16"/>
          <w:szCs w:val="16"/>
        </w:rPr>
        <w:t>Company</w:t>
      </w:r>
      <w:r w:rsidRPr="004A4C09">
        <w:rPr>
          <w:rFonts w:ascii="Verdana" w:eastAsia="Verdana" w:hAnsi="Verdana" w:cs="Verdana"/>
          <w:color w:val="000000"/>
          <w:sz w:val="16"/>
          <w:szCs w:val="16"/>
        </w:rPr>
        <w:t xml:space="preserve"> is and shall be the sole and exclusive owner of all </w:t>
      </w:r>
      <w:r w:rsidR="00175D49" w:rsidRPr="004A4C09">
        <w:rPr>
          <w:rFonts w:ascii="Verdana" w:eastAsia="Verdana" w:hAnsi="Verdana" w:cs="Verdana"/>
          <w:color w:val="000000"/>
          <w:sz w:val="16"/>
          <w:szCs w:val="16"/>
        </w:rPr>
        <w:t xml:space="preserve">data and reports </w:t>
      </w:r>
      <w:r w:rsidR="00A64D58" w:rsidRPr="004A4C09">
        <w:rPr>
          <w:rFonts w:ascii="Verdana" w:eastAsia="Verdana" w:hAnsi="Verdana" w:cs="Verdana"/>
          <w:color w:val="000000"/>
          <w:sz w:val="16"/>
          <w:szCs w:val="16"/>
        </w:rPr>
        <w:t xml:space="preserve">delivered to Company by </w:t>
      </w:r>
      <w:r w:rsidR="00590F85" w:rsidRPr="004A4C09">
        <w:rPr>
          <w:rFonts w:ascii="Verdana" w:eastAsia="Verdana" w:hAnsi="Verdana" w:cs="Verdana"/>
          <w:color w:val="000000"/>
          <w:sz w:val="16"/>
          <w:szCs w:val="16"/>
        </w:rPr>
        <w:t>Crispr QC</w:t>
      </w:r>
      <w:r w:rsidR="00A64D58" w:rsidRPr="004A4C09">
        <w:rPr>
          <w:rFonts w:ascii="Verdana" w:eastAsia="Verdana" w:hAnsi="Verdana" w:cs="Verdana"/>
          <w:color w:val="000000"/>
          <w:sz w:val="16"/>
          <w:szCs w:val="16"/>
        </w:rPr>
        <w:t xml:space="preserve"> under the </w:t>
      </w:r>
      <w:r w:rsidR="00175D49" w:rsidRPr="004A4C09">
        <w:rPr>
          <w:rFonts w:ascii="Verdana" w:eastAsia="Verdana" w:hAnsi="Verdana" w:cs="Verdana"/>
          <w:color w:val="000000"/>
          <w:sz w:val="16"/>
          <w:szCs w:val="16"/>
        </w:rPr>
        <w:t>Agreement, subject to the following: (</w:t>
      </w:r>
      <w:proofErr w:type="spellStart"/>
      <w:r w:rsidR="00175D49" w:rsidRPr="004A4C09">
        <w:rPr>
          <w:rFonts w:ascii="Verdana" w:eastAsia="Verdana" w:hAnsi="Verdana" w:cs="Verdana"/>
          <w:color w:val="000000"/>
          <w:sz w:val="16"/>
          <w:szCs w:val="16"/>
        </w:rPr>
        <w:t>i</w:t>
      </w:r>
      <w:proofErr w:type="spellEnd"/>
      <w:r w:rsidR="00175D49" w:rsidRPr="004A4C09">
        <w:rPr>
          <w:rFonts w:ascii="Verdana" w:eastAsia="Verdana" w:hAnsi="Verdana" w:cs="Verdana"/>
          <w:color w:val="000000"/>
          <w:sz w:val="16"/>
          <w:szCs w:val="16"/>
        </w:rPr>
        <w:t xml:space="preserve">) Company has paid Crispr QC all amounts due and is not otherwise in breach of this Agreement; (ii) </w:t>
      </w:r>
      <w:r w:rsidR="00C5352F" w:rsidRPr="004A4C09">
        <w:rPr>
          <w:rFonts w:ascii="Verdana" w:eastAsia="Verdana" w:hAnsi="Verdana" w:cs="Verdana"/>
          <w:color w:val="000000"/>
          <w:sz w:val="16"/>
          <w:szCs w:val="16"/>
        </w:rPr>
        <w:t>Company shall not, directly or indirectly, use the data and reports (in whole or part) delivered to it by Crispr QC other than for research and non-commercial use</w:t>
      </w:r>
      <w:r w:rsidR="00481FD9">
        <w:rPr>
          <w:rFonts w:ascii="Verdana" w:eastAsia="Verdana" w:hAnsi="Verdana" w:cs="Verdana"/>
          <w:color w:val="000000"/>
          <w:sz w:val="16"/>
          <w:szCs w:val="16"/>
        </w:rPr>
        <w:t xml:space="preserve"> and in compliance with applicable law</w:t>
      </w:r>
      <w:r w:rsidR="00C5352F" w:rsidRPr="004A4C09">
        <w:rPr>
          <w:rFonts w:ascii="Verdana" w:eastAsia="Verdana" w:hAnsi="Verdana" w:cs="Verdana"/>
          <w:color w:val="000000"/>
          <w:sz w:val="16"/>
          <w:szCs w:val="16"/>
        </w:rPr>
        <w:t xml:space="preserve">; and (iii) </w:t>
      </w:r>
      <w:r w:rsidR="00481FD9">
        <w:rPr>
          <w:rFonts w:ascii="Verdana" w:eastAsia="Verdana" w:hAnsi="Verdana" w:cs="Verdana"/>
          <w:color w:val="000000"/>
          <w:sz w:val="16"/>
          <w:szCs w:val="16"/>
        </w:rPr>
        <w:t xml:space="preserve">notwithstanding Section 5, </w:t>
      </w:r>
      <w:r w:rsidR="006550BD" w:rsidRPr="004A4C09">
        <w:rPr>
          <w:rFonts w:ascii="Verdana" w:eastAsia="Verdana" w:hAnsi="Verdana" w:cs="Verdana"/>
          <w:color w:val="000000"/>
          <w:sz w:val="16"/>
          <w:szCs w:val="16"/>
        </w:rPr>
        <w:t xml:space="preserve">Crispr QC </w:t>
      </w:r>
      <w:r w:rsidR="004A4C09" w:rsidRPr="004A4C09">
        <w:rPr>
          <w:rFonts w:ascii="Verdana" w:eastAsia="Verdana" w:hAnsi="Verdana" w:cs="Verdana"/>
          <w:color w:val="000000"/>
          <w:sz w:val="16"/>
          <w:szCs w:val="16"/>
        </w:rPr>
        <w:t>shall have the perpetual right</w:t>
      </w:r>
      <w:r w:rsidR="00C5352F" w:rsidRPr="004A4C09">
        <w:rPr>
          <w:rFonts w:ascii="Verdana" w:eastAsia="Verdana" w:hAnsi="Verdana" w:cs="Verdana"/>
          <w:color w:val="000000"/>
          <w:sz w:val="16"/>
          <w:szCs w:val="16"/>
        </w:rPr>
        <w:t xml:space="preserve"> </w:t>
      </w:r>
      <w:r w:rsidR="004A4C09" w:rsidRPr="004A4C09">
        <w:rPr>
          <w:rFonts w:ascii="Verdana" w:eastAsia="Verdana" w:hAnsi="Verdana" w:cs="Verdana"/>
          <w:color w:val="000000"/>
          <w:sz w:val="16"/>
          <w:szCs w:val="16"/>
        </w:rPr>
        <w:t>and license to use all data (in an anonymized and non-identifying basis) generated under this Agreement for research purposes, to improve its platform and services</w:t>
      </w:r>
      <w:r w:rsidR="00481FD9">
        <w:rPr>
          <w:rFonts w:ascii="Verdana" w:eastAsia="Verdana" w:hAnsi="Verdana" w:cs="Verdana"/>
          <w:color w:val="000000"/>
          <w:sz w:val="16"/>
          <w:szCs w:val="16"/>
        </w:rPr>
        <w:t>,</w:t>
      </w:r>
      <w:r w:rsidR="004A4C09" w:rsidRPr="004A4C09">
        <w:rPr>
          <w:rFonts w:ascii="Verdana" w:eastAsia="Verdana" w:hAnsi="Verdana" w:cs="Verdana"/>
          <w:color w:val="000000"/>
          <w:sz w:val="16"/>
          <w:szCs w:val="16"/>
        </w:rPr>
        <w:t xml:space="preserve"> and for non-</w:t>
      </w:r>
      <w:proofErr w:type="spellStart"/>
      <w:r w:rsidR="004A4C09" w:rsidRPr="004A4C09">
        <w:rPr>
          <w:rFonts w:ascii="Verdana" w:eastAsia="Verdana" w:hAnsi="Verdana" w:cs="Verdana"/>
          <w:color w:val="000000"/>
          <w:sz w:val="16"/>
          <w:szCs w:val="16"/>
        </w:rPr>
        <w:t>commerical</w:t>
      </w:r>
      <w:proofErr w:type="spellEnd"/>
      <w:r w:rsidR="004A4C09" w:rsidRPr="004A4C09">
        <w:rPr>
          <w:rFonts w:ascii="Verdana" w:eastAsia="Verdana" w:hAnsi="Verdana" w:cs="Verdana"/>
          <w:color w:val="000000"/>
          <w:sz w:val="16"/>
          <w:szCs w:val="16"/>
        </w:rPr>
        <w:t xml:space="preserve"> and internal</w:t>
      </w:r>
      <w:r w:rsidR="00481FD9">
        <w:rPr>
          <w:rFonts w:ascii="Verdana" w:eastAsia="Verdana" w:hAnsi="Verdana" w:cs="Verdana"/>
          <w:color w:val="000000"/>
          <w:sz w:val="16"/>
          <w:szCs w:val="16"/>
        </w:rPr>
        <w:t xml:space="preserve"> business purposes</w:t>
      </w:r>
      <w:r w:rsidR="006550BD" w:rsidRPr="004A4C09">
        <w:rPr>
          <w:rFonts w:ascii="Calibri" w:hAnsi="Calibri" w:cs="Calibri"/>
          <w:color w:val="4472C4"/>
          <w:shd w:val="clear" w:color="auto" w:fill="FFFFFF"/>
        </w:rPr>
        <w:t>.</w:t>
      </w:r>
      <w:r w:rsidR="00A64D58" w:rsidRPr="00C5352F">
        <w:rPr>
          <w:rFonts w:ascii="Verdana" w:eastAsia="Verdana" w:hAnsi="Verdana" w:cs="Verdana"/>
          <w:color w:val="000000"/>
          <w:sz w:val="16"/>
          <w:szCs w:val="16"/>
        </w:rPr>
        <w:t xml:space="preserve">    </w:t>
      </w:r>
    </w:p>
    <w:p w14:paraId="293E9368" w14:textId="17B54267" w:rsidR="006372FF" w:rsidRDefault="006372FF" w:rsidP="006372FF">
      <w:pPr>
        <w:pStyle w:val="ListParagraph"/>
        <w:numPr>
          <w:ilvl w:val="0"/>
          <w:numId w:val="2"/>
        </w:numPr>
        <w:pBdr>
          <w:top w:val="nil"/>
          <w:left w:val="nil"/>
          <w:bottom w:val="nil"/>
          <w:right w:val="nil"/>
          <w:between w:val="nil"/>
        </w:pBdr>
        <w:spacing w:after="60"/>
        <w:ind w:left="180" w:hanging="270"/>
        <w:jc w:val="both"/>
        <w:rPr>
          <w:rFonts w:ascii="Verdana" w:eastAsia="Verdana" w:hAnsi="Verdana" w:cs="Verdana"/>
          <w:color w:val="000000"/>
          <w:sz w:val="16"/>
          <w:szCs w:val="16"/>
        </w:rPr>
      </w:pPr>
      <w:r w:rsidRPr="006372FF">
        <w:rPr>
          <w:rFonts w:ascii="Verdana" w:eastAsia="Verdana" w:hAnsi="Verdana" w:cs="Verdana"/>
          <w:color w:val="000000"/>
          <w:sz w:val="16"/>
          <w:szCs w:val="16"/>
          <w:u w:val="single"/>
        </w:rPr>
        <w:t>Confidentiality</w:t>
      </w:r>
      <w:r>
        <w:rPr>
          <w:rFonts w:ascii="Verdana" w:eastAsia="Verdana" w:hAnsi="Verdana" w:cs="Verdana"/>
          <w:color w:val="000000"/>
          <w:sz w:val="16"/>
          <w:szCs w:val="16"/>
        </w:rPr>
        <w:t xml:space="preserve">.  Each </w:t>
      </w:r>
      <w:r w:rsidR="0067224B">
        <w:rPr>
          <w:rFonts w:ascii="Verdana" w:eastAsia="Verdana" w:hAnsi="Verdana" w:cs="Verdana"/>
          <w:color w:val="000000"/>
          <w:sz w:val="16"/>
          <w:szCs w:val="16"/>
        </w:rPr>
        <w:t>P</w:t>
      </w:r>
      <w:r>
        <w:rPr>
          <w:rFonts w:ascii="Verdana" w:eastAsia="Verdana" w:hAnsi="Verdana" w:cs="Verdana"/>
          <w:color w:val="000000"/>
          <w:sz w:val="16"/>
          <w:szCs w:val="16"/>
        </w:rPr>
        <w:t>arty (the “</w:t>
      </w:r>
      <w:r w:rsidRPr="006372FF">
        <w:rPr>
          <w:rFonts w:ascii="Verdana" w:eastAsia="Verdana" w:hAnsi="Verdana" w:cs="Verdana"/>
          <w:color w:val="000000"/>
          <w:sz w:val="16"/>
          <w:szCs w:val="16"/>
          <w:u w:val="single"/>
        </w:rPr>
        <w:t>Receiving Party</w:t>
      </w:r>
      <w:r>
        <w:rPr>
          <w:rFonts w:ascii="Verdana" w:eastAsia="Verdana" w:hAnsi="Verdana" w:cs="Verdana"/>
          <w:color w:val="000000"/>
          <w:sz w:val="16"/>
          <w:szCs w:val="16"/>
        </w:rPr>
        <w:t xml:space="preserve">”) shall use any Protected Information disclosed to it by the other </w:t>
      </w:r>
      <w:r w:rsidR="0067224B">
        <w:rPr>
          <w:rFonts w:ascii="Verdana" w:eastAsia="Verdana" w:hAnsi="Verdana" w:cs="Verdana"/>
          <w:color w:val="000000"/>
          <w:sz w:val="16"/>
          <w:szCs w:val="16"/>
        </w:rPr>
        <w:t>P</w:t>
      </w:r>
      <w:r>
        <w:rPr>
          <w:rFonts w:ascii="Verdana" w:eastAsia="Verdana" w:hAnsi="Verdana" w:cs="Verdana"/>
          <w:color w:val="000000"/>
          <w:sz w:val="16"/>
          <w:szCs w:val="16"/>
        </w:rPr>
        <w:t>arty (the “</w:t>
      </w:r>
      <w:r w:rsidRPr="006372FF">
        <w:rPr>
          <w:rFonts w:ascii="Verdana" w:eastAsia="Verdana" w:hAnsi="Verdana" w:cs="Verdana"/>
          <w:color w:val="000000"/>
          <w:sz w:val="16"/>
          <w:szCs w:val="16"/>
          <w:u w:val="single"/>
        </w:rPr>
        <w:t>Disclosing Party</w:t>
      </w:r>
      <w:r>
        <w:rPr>
          <w:rFonts w:ascii="Verdana" w:eastAsia="Verdana" w:hAnsi="Verdana" w:cs="Verdana"/>
          <w:color w:val="000000"/>
          <w:sz w:val="16"/>
          <w:szCs w:val="16"/>
        </w:rPr>
        <w:t xml:space="preserve">”), or otherwise made available to Receiving </w:t>
      </w:r>
      <w:proofErr w:type="gramStart"/>
      <w:r>
        <w:rPr>
          <w:rFonts w:ascii="Verdana" w:eastAsia="Verdana" w:hAnsi="Verdana" w:cs="Verdana"/>
          <w:color w:val="000000"/>
          <w:sz w:val="16"/>
          <w:szCs w:val="16"/>
        </w:rPr>
        <w:t>Party,  solely</w:t>
      </w:r>
      <w:proofErr w:type="gramEnd"/>
      <w:r>
        <w:rPr>
          <w:rFonts w:ascii="Verdana" w:eastAsia="Verdana" w:hAnsi="Verdana" w:cs="Verdana"/>
          <w:color w:val="000000"/>
          <w:sz w:val="16"/>
          <w:szCs w:val="16"/>
        </w:rPr>
        <w:t xml:space="preserve"> for the purpose of fulfilling its obligations under the Agreement and shall keep such Protected Information strictly confidential. “</w:t>
      </w:r>
      <w:r>
        <w:rPr>
          <w:rFonts w:ascii="Verdana" w:eastAsia="Verdana" w:hAnsi="Verdana" w:cs="Verdana"/>
          <w:color w:val="000000"/>
          <w:sz w:val="16"/>
          <w:szCs w:val="16"/>
          <w:u w:val="single"/>
        </w:rPr>
        <w:t>Protected Information</w:t>
      </w:r>
      <w:r>
        <w:rPr>
          <w:rFonts w:ascii="Verdana" w:eastAsia="Verdana" w:hAnsi="Verdana" w:cs="Verdana"/>
          <w:color w:val="000000"/>
          <w:sz w:val="16"/>
          <w:szCs w:val="16"/>
        </w:rPr>
        <w:t xml:space="preserve">” is defined as all </w:t>
      </w:r>
      <w:r w:rsidR="00E40725">
        <w:rPr>
          <w:rFonts w:ascii="Verdana" w:eastAsia="Verdana" w:hAnsi="Verdana" w:cs="Verdana"/>
          <w:color w:val="000000"/>
          <w:sz w:val="16"/>
          <w:szCs w:val="16"/>
        </w:rPr>
        <w:t xml:space="preserve">business and technical </w:t>
      </w:r>
      <w:r>
        <w:rPr>
          <w:rFonts w:ascii="Verdana" w:eastAsia="Verdana" w:hAnsi="Verdana" w:cs="Verdana"/>
          <w:color w:val="000000"/>
          <w:sz w:val="16"/>
          <w:szCs w:val="16"/>
        </w:rPr>
        <w:t>information concerning the Disclosing Party</w:t>
      </w:r>
      <w:r w:rsidR="00E40725">
        <w:rPr>
          <w:rFonts w:ascii="Verdana" w:eastAsia="Verdana" w:hAnsi="Verdana" w:cs="Verdana"/>
          <w:color w:val="000000"/>
          <w:sz w:val="16"/>
          <w:szCs w:val="16"/>
        </w:rPr>
        <w:t xml:space="preserve"> and any other information of the Disclosing Party that under the circumstances a reasonable person would consider to be of a confidential nature and </w:t>
      </w:r>
      <w:r>
        <w:rPr>
          <w:rFonts w:ascii="Verdana" w:eastAsia="Verdana" w:hAnsi="Verdana" w:cs="Verdana"/>
          <w:color w:val="000000"/>
          <w:sz w:val="16"/>
          <w:szCs w:val="16"/>
        </w:rPr>
        <w:t>that is not generally known to the public, including, but not limited to, the Company’s operations, strategies and methodologies; source code; technical, financial and business information and data; lists of actual or potential donors; location; proprietary methods and processes; and business and other plans and strategies. “</w:t>
      </w:r>
      <w:r>
        <w:rPr>
          <w:rFonts w:ascii="Verdana" w:eastAsia="Verdana" w:hAnsi="Verdana" w:cs="Verdana"/>
          <w:color w:val="000000"/>
          <w:sz w:val="16"/>
          <w:szCs w:val="16"/>
          <w:u w:val="single"/>
        </w:rPr>
        <w:t>Protected Information</w:t>
      </w:r>
      <w:r>
        <w:rPr>
          <w:rFonts w:ascii="Verdana" w:eastAsia="Verdana" w:hAnsi="Verdana" w:cs="Verdana"/>
          <w:color w:val="000000"/>
          <w:sz w:val="16"/>
          <w:szCs w:val="16"/>
        </w:rPr>
        <w:t>” further includes all information that the</w:t>
      </w:r>
      <w:r w:rsidR="00E40725">
        <w:rPr>
          <w:rFonts w:ascii="Verdana" w:eastAsia="Verdana" w:hAnsi="Verdana" w:cs="Verdana"/>
          <w:color w:val="000000"/>
          <w:sz w:val="16"/>
          <w:szCs w:val="16"/>
        </w:rPr>
        <w:t xml:space="preserve"> Disclosing Party </w:t>
      </w:r>
      <w:r>
        <w:rPr>
          <w:rFonts w:ascii="Verdana" w:eastAsia="Verdana" w:hAnsi="Verdana" w:cs="Verdana"/>
          <w:color w:val="000000"/>
          <w:sz w:val="16"/>
          <w:szCs w:val="16"/>
        </w:rPr>
        <w:t xml:space="preserve">is required by third parties to keep confidential. Protected Information shall not include information that is: (a) known or becomes generally available to the public other than as a result of an unauthorized disclosure by </w:t>
      </w:r>
      <w:r w:rsidR="00E40725">
        <w:rPr>
          <w:rFonts w:ascii="Verdana" w:eastAsia="Verdana" w:hAnsi="Verdana" w:cs="Verdana"/>
          <w:color w:val="000000"/>
          <w:sz w:val="16"/>
          <w:szCs w:val="16"/>
        </w:rPr>
        <w:t>Receiving Party</w:t>
      </w:r>
      <w:r>
        <w:rPr>
          <w:rFonts w:ascii="Verdana" w:eastAsia="Verdana" w:hAnsi="Verdana" w:cs="Verdana"/>
          <w:color w:val="000000"/>
          <w:sz w:val="16"/>
          <w:szCs w:val="16"/>
        </w:rPr>
        <w:t xml:space="preserve">; (b) known to </w:t>
      </w:r>
      <w:r w:rsidR="00E40725">
        <w:rPr>
          <w:rFonts w:ascii="Verdana" w:eastAsia="Verdana" w:hAnsi="Verdana" w:cs="Verdana"/>
          <w:color w:val="000000"/>
          <w:sz w:val="16"/>
          <w:szCs w:val="16"/>
        </w:rPr>
        <w:t xml:space="preserve">Receiving Party </w:t>
      </w:r>
      <w:r>
        <w:rPr>
          <w:rFonts w:ascii="Verdana" w:eastAsia="Verdana" w:hAnsi="Verdana" w:cs="Verdana"/>
          <w:color w:val="000000"/>
          <w:sz w:val="16"/>
          <w:szCs w:val="16"/>
        </w:rPr>
        <w:t xml:space="preserve">at the time of disclosure, provided that the source of such information, materials or data was not known to be bound </w:t>
      </w:r>
      <w:r>
        <w:rPr>
          <w:rFonts w:ascii="Verdana" w:eastAsia="Verdana" w:hAnsi="Verdana" w:cs="Verdana"/>
          <w:color w:val="000000"/>
          <w:sz w:val="16"/>
          <w:szCs w:val="16"/>
        </w:rPr>
        <w:t xml:space="preserve">by an obligation of confidentiality with the </w:t>
      </w:r>
      <w:r w:rsidR="00E40725">
        <w:rPr>
          <w:rFonts w:ascii="Verdana" w:eastAsia="Verdana" w:hAnsi="Verdana" w:cs="Verdana"/>
          <w:color w:val="000000"/>
          <w:sz w:val="16"/>
          <w:szCs w:val="16"/>
        </w:rPr>
        <w:t>Disclosing Party</w:t>
      </w:r>
      <w:r>
        <w:rPr>
          <w:rFonts w:ascii="Verdana" w:eastAsia="Verdana" w:hAnsi="Verdana" w:cs="Verdana"/>
          <w:color w:val="000000"/>
          <w:sz w:val="16"/>
          <w:szCs w:val="16"/>
        </w:rPr>
        <w:t xml:space="preserve"> or through a party that had an obligation of confidentiality with the </w:t>
      </w:r>
      <w:r w:rsidR="00E40725">
        <w:rPr>
          <w:rFonts w:ascii="Verdana" w:eastAsia="Verdana" w:hAnsi="Verdana" w:cs="Verdana"/>
          <w:color w:val="000000"/>
          <w:sz w:val="16"/>
          <w:szCs w:val="16"/>
        </w:rPr>
        <w:t>Disclosing Party</w:t>
      </w:r>
      <w:r>
        <w:rPr>
          <w:rFonts w:ascii="Verdana" w:eastAsia="Verdana" w:hAnsi="Verdana" w:cs="Verdana"/>
          <w:color w:val="000000"/>
          <w:sz w:val="16"/>
          <w:szCs w:val="16"/>
        </w:rPr>
        <w:t xml:space="preserve"> in respect thereof; (c) rightfully obtained by </w:t>
      </w:r>
      <w:r w:rsidR="00E40725">
        <w:rPr>
          <w:rFonts w:ascii="Verdana" w:eastAsia="Verdana" w:hAnsi="Verdana" w:cs="Verdana"/>
          <w:color w:val="000000"/>
          <w:sz w:val="16"/>
          <w:szCs w:val="16"/>
        </w:rPr>
        <w:t xml:space="preserve">Receiving Party </w:t>
      </w:r>
      <w:r>
        <w:rPr>
          <w:rFonts w:ascii="Verdana" w:eastAsia="Verdana" w:hAnsi="Verdana" w:cs="Verdana"/>
          <w:color w:val="000000"/>
          <w:sz w:val="16"/>
          <w:szCs w:val="16"/>
        </w:rPr>
        <w:t xml:space="preserve">on a non-confidential basis from a third party which is not known by </w:t>
      </w:r>
      <w:r w:rsidR="00E40725">
        <w:rPr>
          <w:rFonts w:ascii="Verdana" w:eastAsia="Verdana" w:hAnsi="Verdana" w:cs="Verdana"/>
          <w:color w:val="000000"/>
          <w:sz w:val="16"/>
          <w:szCs w:val="16"/>
        </w:rPr>
        <w:t xml:space="preserve">Receiving Party </w:t>
      </w:r>
      <w:r>
        <w:rPr>
          <w:rFonts w:ascii="Verdana" w:eastAsia="Verdana" w:hAnsi="Verdana" w:cs="Verdana"/>
          <w:color w:val="000000"/>
          <w:sz w:val="16"/>
          <w:szCs w:val="16"/>
        </w:rPr>
        <w:t xml:space="preserve">to be prohibited from disclosing such information, materials or data to </w:t>
      </w:r>
      <w:r w:rsidR="00E40725">
        <w:rPr>
          <w:rFonts w:ascii="Verdana" w:eastAsia="Verdana" w:hAnsi="Verdana" w:cs="Verdana"/>
          <w:color w:val="000000"/>
          <w:sz w:val="16"/>
          <w:szCs w:val="16"/>
        </w:rPr>
        <w:t>Receiving Party</w:t>
      </w:r>
      <w:r>
        <w:rPr>
          <w:rFonts w:ascii="Verdana" w:eastAsia="Verdana" w:hAnsi="Verdana" w:cs="Verdana"/>
          <w:color w:val="000000"/>
          <w:sz w:val="16"/>
          <w:szCs w:val="16"/>
        </w:rPr>
        <w:t xml:space="preserve">, by a legal, contractual or fiduciary obligation to the </w:t>
      </w:r>
      <w:r w:rsidR="00E40725">
        <w:rPr>
          <w:rFonts w:ascii="Verdana" w:eastAsia="Verdana" w:hAnsi="Verdana" w:cs="Verdana"/>
          <w:color w:val="000000"/>
          <w:sz w:val="16"/>
          <w:szCs w:val="16"/>
        </w:rPr>
        <w:t>Disclosing Party</w:t>
      </w:r>
      <w:r>
        <w:rPr>
          <w:rFonts w:ascii="Verdana" w:eastAsia="Verdana" w:hAnsi="Verdana" w:cs="Verdana"/>
          <w:color w:val="000000"/>
          <w:sz w:val="16"/>
          <w:szCs w:val="16"/>
        </w:rPr>
        <w:t xml:space="preserve">; (d) is independently developed by </w:t>
      </w:r>
      <w:r w:rsidR="00E40725">
        <w:rPr>
          <w:rFonts w:ascii="Verdana" w:eastAsia="Verdana" w:hAnsi="Verdana" w:cs="Verdana"/>
          <w:color w:val="000000"/>
          <w:sz w:val="16"/>
          <w:szCs w:val="16"/>
        </w:rPr>
        <w:t xml:space="preserve">Receiving Party </w:t>
      </w:r>
      <w:r>
        <w:rPr>
          <w:rFonts w:ascii="Verdana" w:eastAsia="Verdana" w:hAnsi="Verdana" w:cs="Verdana"/>
          <w:color w:val="000000"/>
          <w:sz w:val="16"/>
          <w:szCs w:val="16"/>
        </w:rPr>
        <w:t xml:space="preserve">without use of any confidential and proprietary information, materials or data of the </w:t>
      </w:r>
      <w:r w:rsidR="00E40725">
        <w:rPr>
          <w:rFonts w:ascii="Verdana" w:eastAsia="Verdana" w:hAnsi="Verdana" w:cs="Verdana"/>
          <w:color w:val="000000"/>
          <w:sz w:val="16"/>
          <w:szCs w:val="16"/>
        </w:rPr>
        <w:t>Disclosing Party;</w:t>
      </w:r>
      <w:r>
        <w:rPr>
          <w:rFonts w:ascii="Verdana" w:eastAsia="Verdana" w:hAnsi="Verdana" w:cs="Verdana"/>
          <w:color w:val="000000"/>
          <w:sz w:val="16"/>
          <w:szCs w:val="16"/>
        </w:rPr>
        <w:t xml:space="preserve"> or (e) required to be disclosed by law or any governmental authority.</w:t>
      </w:r>
    </w:p>
    <w:p w14:paraId="1F2E0714" w14:textId="420E8BD0" w:rsidR="003C3664" w:rsidRPr="003A0AD7" w:rsidRDefault="00B960B0" w:rsidP="003A0AD7">
      <w:pPr>
        <w:pStyle w:val="ListParagraph"/>
        <w:numPr>
          <w:ilvl w:val="0"/>
          <w:numId w:val="2"/>
        </w:numPr>
        <w:pBdr>
          <w:top w:val="nil"/>
          <w:left w:val="nil"/>
          <w:bottom w:val="nil"/>
          <w:right w:val="nil"/>
          <w:between w:val="nil"/>
        </w:pBdr>
        <w:tabs>
          <w:tab w:val="left" w:pos="90"/>
        </w:tabs>
        <w:spacing w:after="60"/>
        <w:ind w:left="180" w:hanging="270"/>
        <w:jc w:val="both"/>
        <w:rPr>
          <w:rFonts w:ascii="Verdana" w:eastAsia="Verdana" w:hAnsi="Verdana" w:cs="Verdana"/>
          <w:color w:val="000000"/>
          <w:sz w:val="16"/>
          <w:szCs w:val="16"/>
        </w:rPr>
      </w:pPr>
      <w:r w:rsidRPr="003A0AD7">
        <w:rPr>
          <w:rFonts w:ascii="Verdana" w:eastAsia="Verdana" w:hAnsi="Verdana" w:cs="Verdana"/>
          <w:sz w:val="16"/>
          <w:szCs w:val="16"/>
        </w:rPr>
        <w:t xml:space="preserve"> </w:t>
      </w:r>
      <w:r w:rsidRPr="003A0AD7">
        <w:rPr>
          <w:rFonts w:ascii="Verdana" w:eastAsia="Verdana" w:hAnsi="Verdana" w:cs="Verdana"/>
          <w:sz w:val="16"/>
          <w:szCs w:val="16"/>
          <w:u w:val="single"/>
        </w:rPr>
        <w:t>LIMITATION OF LIABILITY</w:t>
      </w:r>
      <w:r w:rsidRPr="003A0AD7">
        <w:rPr>
          <w:rFonts w:ascii="Verdana" w:eastAsia="Verdana" w:hAnsi="Verdana" w:cs="Verdana"/>
          <w:color w:val="000000"/>
          <w:sz w:val="16"/>
          <w:szCs w:val="16"/>
        </w:rPr>
        <w:t xml:space="preserve">. NOTWITHSTANDING ANYTHING IN THE AGREEMENT TO THE CONTRARY, IN NO EVENT SHALL EITHER PARTY BE LIABLE FOR INCIDENTAL, SPECIAL, INDIRECT, CONSEQUENTIAL OR PUNITIVE DAMAGES, INCLUDING BUT NOT LIMITED TO BUSINESS INTERRUPTION, LOST PROFITS AND LOST BUSINESS, INCURRED BY THE OTHER PARTY OR ITS AFFILIATES IN CONNECTION WITH THIS AGREEMENT, HOWEVER CAUSED AND ON ANY THEORY OF LIABILITY. </w:t>
      </w:r>
      <w:r w:rsidRPr="003A0AD7">
        <w:rPr>
          <w:rFonts w:ascii="Verdana" w:hAnsi="Verdana"/>
          <w:sz w:val="16"/>
          <w:szCs w:val="16"/>
        </w:rPr>
        <w:t>THESE LIMITATIONS WILL APPLY EVEN IF THE OTHER PARTY HAS BEEN ADVISED OF THE POSSIBILITY OF SUCH DAMAGES.</w:t>
      </w:r>
      <w:r w:rsidR="00752D76">
        <w:rPr>
          <w:rFonts w:ascii="Verdana" w:hAnsi="Verdana"/>
          <w:sz w:val="16"/>
          <w:szCs w:val="16"/>
        </w:rPr>
        <w:t xml:space="preserve">  </w:t>
      </w:r>
      <w:r w:rsidR="00E40725">
        <w:rPr>
          <w:rFonts w:ascii="Verdana" w:hAnsi="Verdana"/>
          <w:sz w:val="16"/>
          <w:szCs w:val="16"/>
        </w:rPr>
        <w:t xml:space="preserve">OTHER THAN WITH RESPECT TO A BREACH OF SECTION 4 OR 5, </w:t>
      </w:r>
      <w:r w:rsidR="00752D76" w:rsidRPr="00A14BB3">
        <w:rPr>
          <w:rFonts w:ascii="Verdana" w:hAnsi="Verdana" w:cs="Arial"/>
          <w:sz w:val="16"/>
          <w:szCs w:val="16"/>
        </w:rPr>
        <w:t xml:space="preserve">IN NO EVENT WILL A PARTY’S AGGREGATE LIABILITY IN CONNECTION WITH THIS AGREEMENT EXCEED THE FEES PAID OR DUE AND PAYABLE </w:t>
      </w:r>
      <w:r w:rsidR="00183833">
        <w:rPr>
          <w:rFonts w:ascii="Verdana" w:hAnsi="Verdana" w:cs="Arial"/>
          <w:sz w:val="16"/>
          <w:szCs w:val="16"/>
        </w:rPr>
        <w:t xml:space="preserve">FOR THE SERVICES </w:t>
      </w:r>
      <w:r w:rsidR="00752D76" w:rsidRPr="00A14BB3">
        <w:rPr>
          <w:rFonts w:ascii="Verdana" w:hAnsi="Verdana" w:cs="Arial"/>
          <w:sz w:val="16"/>
          <w:szCs w:val="16"/>
        </w:rPr>
        <w:t>UNDER THIS AGREEMENT.  THIS LIMITATION WILL APPLY TO ALL CAUSES OF ACTION IN THE AGGREGATE, INCLUDING, BUT NOT LIMITED TO, BREACH OF CONTRACT, BREACH OF WARRANTY, NEGLIGENCE, STRICT LIABILITY, PROPRIETARY RIGHTS INFRINGEMENT, MISREPRESENTATION, AND ALL TORTS.</w:t>
      </w:r>
    </w:p>
    <w:p w14:paraId="43D25977" w14:textId="77777777" w:rsidR="003C3664" w:rsidRDefault="00B960B0">
      <w:pPr>
        <w:pStyle w:val="ListParagraph"/>
        <w:numPr>
          <w:ilvl w:val="0"/>
          <w:numId w:val="2"/>
        </w:numPr>
        <w:pBdr>
          <w:top w:val="nil"/>
          <w:left w:val="nil"/>
          <w:bottom w:val="nil"/>
          <w:right w:val="nil"/>
          <w:between w:val="nil"/>
        </w:pBdr>
        <w:tabs>
          <w:tab w:val="left" w:pos="90"/>
        </w:tabs>
        <w:spacing w:after="60"/>
        <w:ind w:left="180" w:hanging="270"/>
        <w:jc w:val="both"/>
        <w:rPr>
          <w:rFonts w:ascii="Verdana" w:eastAsia="Verdana" w:hAnsi="Verdana" w:cs="Verdana"/>
          <w:color w:val="000000"/>
          <w:sz w:val="16"/>
          <w:szCs w:val="16"/>
        </w:rPr>
      </w:pPr>
      <w:r>
        <w:rPr>
          <w:rFonts w:ascii="Verdana" w:eastAsia="Verdana" w:hAnsi="Verdana" w:cs="Verdana"/>
          <w:color w:val="000000"/>
          <w:sz w:val="16"/>
          <w:szCs w:val="16"/>
          <w:u w:val="single"/>
        </w:rPr>
        <w:t>General Provisions</w:t>
      </w:r>
      <w:r>
        <w:rPr>
          <w:rFonts w:ascii="Verdana" w:eastAsia="Verdana" w:hAnsi="Verdana" w:cs="Verdana"/>
          <w:color w:val="000000"/>
          <w:sz w:val="16"/>
          <w:szCs w:val="16"/>
        </w:rPr>
        <w:t>.</w:t>
      </w:r>
    </w:p>
    <w:p w14:paraId="77BF03D7" w14:textId="7821450B"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 xml:space="preserve">Independent Contractor </w:t>
      </w:r>
      <w:proofErr w:type="gramStart"/>
      <w:r>
        <w:rPr>
          <w:rFonts w:ascii="Verdana" w:eastAsia="Verdana" w:hAnsi="Verdana" w:cs="Verdana"/>
          <w:color w:val="000000"/>
          <w:sz w:val="16"/>
          <w:szCs w:val="16"/>
          <w:u w:val="single"/>
        </w:rPr>
        <w:t>Status;</w:t>
      </w:r>
      <w:proofErr w:type="gramEnd"/>
      <w:r>
        <w:rPr>
          <w:rFonts w:ascii="Verdana" w:eastAsia="Verdana" w:hAnsi="Verdana" w:cs="Verdana"/>
          <w:color w:val="000000"/>
          <w:sz w:val="16"/>
          <w:szCs w:val="16"/>
          <w:u w:val="single"/>
        </w:rPr>
        <w:t xml:space="preserve"> No Authority to Bind.</w:t>
      </w:r>
      <w:r>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will act solely as an independent contractor in delivering the Services, and nothing herein will at any time be construed to create the relationship of employer and employee, principal and agent, partners, or joint venturers between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and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will have no right or authority to act for or represent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shall indemnify and hold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and its Representatives harmless from and against </w:t>
      </w:r>
      <w:proofErr w:type="gramStart"/>
      <w:r>
        <w:rPr>
          <w:rFonts w:ascii="Verdana" w:eastAsia="Verdana" w:hAnsi="Verdana" w:cs="Verdana"/>
          <w:color w:val="000000"/>
          <w:sz w:val="16"/>
          <w:szCs w:val="16"/>
        </w:rPr>
        <w:t>any and all</w:t>
      </w:r>
      <w:proofErr w:type="gramEnd"/>
      <w:r>
        <w:rPr>
          <w:rFonts w:ascii="Verdana" w:eastAsia="Verdana" w:hAnsi="Verdana" w:cs="Verdana"/>
          <w:color w:val="000000"/>
          <w:sz w:val="16"/>
          <w:szCs w:val="16"/>
        </w:rPr>
        <w:t xml:space="preserve"> Losses arising from any determination (whether administratively or judicially) that a relationship, other than that of independent contractor, exists between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and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or in connection with hiring, termination, compensation, discipline, evaluation and resolution of complaints and grievances of </w:t>
      </w:r>
      <w:r w:rsidR="00590F85">
        <w:rPr>
          <w:rFonts w:ascii="Verdana" w:eastAsia="Verdana" w:hAnsi="Verdana" w:cs="Verdana"/>
          <w:color w:val="000000"/>
          <w:sz w:val="16"/>
          <w:szCs w:val="16"/>
        </w:rPr>
        <w:t>Crispr QC</w:t>
      </w:r>
      <w:r>
        <w:rPr>
          <w:rFonts w:ascii="Verdana" w:eastAsia="Verdana" w:hAnsi="Verdana" w:cs="Verdana"/>
          <w:color w:val="000000"/>
          <w:sz w:val="16"/>
          <w:szCs w:val="16"/>
        </w:rPr>
        <w:t>’s employees.</w:t>
      </w:r>
    </w:p>
    <w:p w14:paraId="76035899" w14:textId="77324742"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Waiver</w:t>
      </w:r>
      <w:r>
        <w:rPr>
          <w:rFonts w:ascii="Verdana" w:eastAsia="Verdana" w:hAnsi="Verdana" w:cs="Verdana"/>
          <w:color w:val="000000"/>
          <w:sz w:val="16"/>
          <w:szCs w:val="16"/>
        </w:rPr>
        <w:t xml:space="preserve">. A waiver on the part of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or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of any term, provision or condition of this Agreement shall not constitute a precedent or bind either party to a waiver of any succeeding breach of the same or any other term, </w:t>
      </w:r>
      <w:proofErr w:type="gramStart"/>
      <w:r>
        <w:rPr>
          <w:rFonts w:ascii="Verdana" w:eastAsia="Verdana" w:hAnsi="Verdana" w:cs="Verdana"/>
          <w:color w:val="000000"/>
          <w:sz w:val="16"/>
          <w:szCs w:val="16"/>
        </w:rPr>
        <w:t>provision</w:t>
      </w:r>
      <w:proofErr w:type="gramEnd"/>
      <w:r>
        <w:rPr>
          <w:rFonts w:ascii="Verdana" w:eastAsia="Verdana" w:hAnsi="Verdana" w:cs="Verdana"/>
          <w:color w:val="000000"/>
          <w:sz w:val="16"/>
          <w:szCs w:val="16"/>
        </w:rPr>
        <w:t xml:space="preserve"> or condition of this Agreement.</w:t>
      </w:r>
    </w:p>
    <w:p w14:paraId="796ACB68" w14:textId="06EEE3EB"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Survival</w:t>
      </w:r>
      <w:r>
        <w:rPr>
          <w:rFonts w:ascii="Verdana" w:eastAsia="Verdana" w:hAnsi="Verdana" w:cs="Verdana"/>
          <w:color w:val="000000"/>
          <w:sz w:val="16"/>
          <w:szCs w:val="16"/>
        </w:rPr>
        <w:t xml:space="preserve">. Sections </w:t>
      </w:r>
      <w:r w:rsidR="007347D1">
        <w:rPr>
          <w:rFonts w:ascii="Verdana" w:eastAsia="Verdana" w:hAnsi="Verdana" w:cs="Verdana"/>
          <w:color w:val="000000"/>
          <w:sz w:val="16"/>
          <w:szCs w:val="16"/>
        </w:rPr>
        <w:t xml:space="preserve">4, </w:t>
      </w:r>
      <w:r>
        <w:rPr>
          <w:rFonts w:ascii="Verdana" w:eastAsia="Verdana" w:hAnsi="Verdana" w:cs="Verdana"/>
          <w:color w:val="000000"/>
          <w:sz w:val="16"/>
          <w:szCs w:val="16"/>
        </w:rPr>
        <w:t xml:space="preserve">5, </w:t>
      </w:r>
      <w:r w:rsidR="007347D1">
        <w:rPr>
          <w:rFonts w:ascii="Verdana" w:eastAsia="Verdana" w:hAnsi="Verdana" w:cs="Verdana"/>
          <w:color w:val="000000"/>
          <w:sz w:val="16"/>
          <w:szCs w:val="16"/>
        </w:rPr>
        <w:t xml:space="preserve">and </w:t>
      </w:r>
      <w:r>
        <w:rPr>
          <w:rFonts w:ascii="Verdana" w:eastAsia="Verdana" w:hAnsi="Verdana" w:cs="Verdana"/>
          <w:color w:val="000000"/>
          <w:sz w:val="16"/>
          <w:szCs w:val="16"/>
        </w:rPr>
        <w:t>6</w:t>
      </w:r>
      <w:r w:rsidR="007347D1">
        <w:rPr>
          <w:rFonts w:ascii="Verdana" w:eastAsia="Verdana" w:hAnsi="Verdana" w:cs="Verdana"/>
          <w:color w:val="000000"/>
          <w:sz w:val="16"/>
          <w:szCs w:val="16"/>
        </w:rPr>
        <w:t>, a</w:t>
      </w:r>
      <w:r>
        <w:rPr>
          <w:rFonts w:ascii="Verdana" w:eastAsia="Verdana" w:hAnsi="Verdana" w:cs="Verdana"/>
          <w:color w:val="000000"/>
          <w:sz w:val="16"/>
          <w:szCs w:val="16"/>
        </w:rPr>
        <w:t>nd all other provisions of this Agreement which by their nature are intended to survive completion of the Services or termination of this Agreement, shall survive any termination or expiration of this Agreement.</w:t>
      </w:r>
    </w:p>
    <w:p w14:paraId="110A4F4B" w14:textId="45250BBF"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Assignment</w:t>
      </w:r>
      <w:r>
        <w:rPr>
          <w:rFonts w:ascii="Verdana" w:eastAsia="Verdana" w:hAnsi="Verdana" w:cs="Verdana"/>
          <w:color w:val="000000"/>
          <w:sz w:val="16"/>
          <w:szCs w:val="16"/>
        </w:rPr>
        <w:t xml:space="preserve">. This Agreement shall be binding on and inure to the successors and permitted assigns of the parties hereto. </w:t>
      </w:r>
    </w:p>
    <w:p w14:paraId="5390A31F" w14:textId="77777777"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Notices</w:t>
      </w:r>
      <w:r>
        <w:rPr>
          <w:rFonts w:ascii="Verdana" w:eastAsia="Verdana" w:hAnsi="Verdana" w:cs="Verdana"/>
          <w:color w:val="000000"/>
          <w:sz w:val="16"/>
          <w:szCs w:val="16"/>
        </w:rPr>
        <w:t>. Any information or notices required to be given under this Agreement shall be in writing and (</w:t>
      </w:r>
      <w:proofErr w:type="spellStart"/>
      <w:r>
        <w:rPr>
          <w:rFonts w:ascii="Verdana" w:eastAsia="Verdana" w:hAnsi="Verdana" w:cs="Verdana"/>
          <w:color w:val="000000"/>
          <w:sz w:val="16"/>
          <w:szCs w:val="16"/>
        </w:rPr>
        <w:t>i</w:t>
      </w:r>
      <w:proofErr w:type="spellEnd"/>
      <w:r>
        <w:rPr>
          <w:rFonts w:ascii="Verdana" w:eastAsia="Verdana" w:hAnsi="Verdana" w:cs="Verdana"/>
          <w:color w:val="000000"/>
          <w:sz w:val="16"/>
          <w:szCs w:val="16"/>
        </w:rPr>
        <w:t xml:space="preserve">) delivered personally, (ii) emailed to the applicable party at the address set forth </w:t>
      </w:r>
      <w:r>
        <w:rPr>
          <w:rFonts w:ascii="Verdana" w:eastAsia="Verdana" w:hAnsi="Verdana" w:cs="Verdana"/>
          <w:sz w:val="16"/>
          <w:szCs w:val="16"/>
        </w:rPr>
        <w:t>on the SOW</w:t>
      </w:r>
      <w:r>
        <w:rPr>
          <w:rFonts w:ascii="Verdana" w:eastAsia="Verdana" w:hAnsi="Verdana" w:cs="Verdana"/>
          <w:color w:val="000000"/>
          <w:sz w:val="16"/>
          <w:szCs w:val="16"/>
        </w:rPr>
        <w:t xml:space="preserve">, or (iii) mailed via a national recognized overnight carrier to the applicable party at the address set forth </w:t>
      </w:r>
      <w:r>
        <w:rPr>
          <w:rFonts w:ascii="Verdana" w:eastAsia="Verdana" w:hAnsi="Verdana" w:cs="Verdana"/>
          <w:sz w:val="16"/>
          <w:szCs w:val="16"/>
        </w:rPr>
        <w:t>on the SOW</w:t>
      </w:r>
      <w:r>
        <w:rPr>
          <w:rFonts w:ascii="Verdana" w:eastAsia="Verdana" w:hAnsi="Verdana" w:cs="Verdana"/>
          <w:color w:val="000000"/>
          <w:sz w:val="16"/>
          <w:szCs w:val="16"/>
        </w:rPr>
        <w:t>, unless by notice, a party changes or supplements the address/addressee for giving notice. Notices shall be deemed delivered on the date personally delivered, when emailed, or the next business day if mailed via a nationally recognized overnight courier. Any notice of default, non-payment or termination must be sent both via (</w:t>
      </w:r>
      <w:proofErr w:type="spellStart"/>
      <w:r>
        <w:rPr>
          <w:rFonts w:ascii="Verdana" w:eastAsia="Verdana" w:hAnsi="Verdana" w:cs="Verdana"/>
          <w:color w:val="000000"/>
          <w:sz w:val="16"/>
          <w:szCs w:val="16"/>
        </w:rPr>
        <w:t>i</w:t>
      </w:r>
      <w:proofErr w:type="spellEnd"/>
      <w:r>
        <w:rPr>
          <w:rFonts w:ascii="Verdana" w:eastAsia="Verdana" w:hAnsi="Verdana" w:cs="Verdana"/>
          <w:color w:val="000000"/>
          <w:sz w:val="16"/>
          <w:szCs w:val="16"/>
        </w:rPr>
        <w:t xml:space="preserve">) e-mail and (ii) personal delivery or mail via a nationally recognized overnight </w:t>
      </w:r>
      <w:proofErr w:type="gramStart"/>
      <w:r>
        <w:rPr>
          <w:rFonts w:ascii="Verdana" w:eastAsia="Verdana" w:hAnsi="Verdana" w:cs="Verdana"/>
          <w:color w:val="000000"/>
          <w:sz w:val="16"/>
          <w:szCs w:val="16"/>
        </w:rPr>
        <w:t>courier, and</w:t>
      </w:r>
      <w:proofErr w:type="gramEnd"/>
      <w:r>
        <w:rPr>
          <w:rFonts w:ascii="Verdana" w:eastAsia="Verdana" w:hAnsi="Verdana" w:cs="Verdana"/>
          <w:color w:val="000000"/>
          <w:sz w:val="16"/>
          <w:szCs w:val="16"/>
        </w:rPr>
        <w:t xml:space="preserve"> shall be deemed delivered the next business day. </w:t>
      </w:r>
    </w:p>
    <w:p w14:paraId="6ECEC2E9" w14:textId="02DCCF05"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lastRenderedPageBreak/>
        <w:t>Governing Law</w:t>
      </w:r>
      <w:r>
        <w:rPr>
          <w:rFonts w:ascii="Verdana" w:eastAsia="Verdana" w:hAnsi="Verdana" w:cs="Verdana"/>
          <w:color w:val="000000"/>
          <w:sz w:val="16"/>
          <w:szCs w:val="16"/>
        </w:rPr>
        <w:t xml:space="preserve">. This Agreement, including all exhibits and schedules, shall be governed </w:t>
      </w:r>
      <w:proofErr w:type="gramStart"/>
      <w:r>
        <w:rPr>
          <w:rFonts w:ascii="Verdana" w:eastAsia="Verdana" w:hAnsi="Verdana" w:cs="Verdana"/>
          <w:color w:val="000000"/>
          <w:sz w:val="16"/>
          <w:szCs w:val="16"/>
        </w:rPr>
        <w:t>by</w:t>
      </w:r>
      <w:proofErr w:type="gramEnd"/>
      <w:r>
        <w:rPr>
          <w:rFonts w:ascii="Verdana" w:eastAsia="Verdana" w:hAnsi="Verdana" w:cs="Verdana"/>
          <w:color w:val="000000"/>
          <w:sz w:val="16"/>
          <w:szCs w:val="16"/>
        </w:rPr>
        <w:t xml:space="preserve"> and interpreted pursuant to the laws of the state of </w:t>
      </w:r>
      <w:r w:rsidR="003A0AD7">
        <w:rPr>
          <w:rFonts w:ascii="Verdana" w:eastAsia="Verdana" w:hAnsi="Verdana" w:cs="Verdana"/>
          <w:color w:val="000000"/>
          <w:sz w:val="16"/>
          <w:szCs w:val="16"/>
        </w:rPr>
        <w:t>California</w:t>
      </w:r>
      <w:r>
        <w:rPr>
          <w:rFonts w:ascii="Verdana" w:eastAsia="Verdana" w:hAnsi="Verdana" w:cs="Verdana"/>
          <w:color w:val="000000"/>
          <w:sz w:val="16"/>
          <w:szCs w:val="16"/>
        </w:rPr>
        <w:t xml:space="preserve">, without regard to the conflict of </w:t>
      </w:r>
      <w:proofErr w:type="spellStart"/>
      <w:r>
        <w:rPr>
          <w:rFonts w:ascii="Verdana" w:eastAsia="Verdana" w:hAnsi="Verdana" w:cs="Verdana"/>
          <w:color w:val="000000"/>
          <w:sz w:val="16"/>
          <w:szCs w:val="16"/>
        </w:rPr>
        <w:t>laws</w:t>
      </w:r>
      <w:proofErr w:type="spellEnd"/>
      <w:r>
        <w:rPr>
          <w:rFonts w:ascii="Verdana" w:eastAsia="Verdana" w:hAnsi="Verdana" w:cs="Verdana"/>
          <w:color w:val="000000"/>
          <w:sz w:val="16"/>
          <w:szCs w:val="16"/>
        </w:rPr>
        <w:t xml:space="preserve"> provisions thereof to the extent such principles or rules would require or permit the application of the laws of any jurisdiction other than those of the state of </w:t>
      </w:r>
      <w:r w:rsidR="003A0AD7">
        <w:rPr>
          <w:rFonts w:ascii="Verdana" w:eastAsia="Verdana" w:hAnsi="Verdana" w:cs="Verdana"/>
          <w:color w:val="000000"/>
          <w:sz w:val="16"/>
          <w:szCs w:val="16"/>
        </w:rPr>
        <w:t>California</w:t>
      </w:r>
      <w:r>
        <w:rPr>
          <w:rFonts w:ascii="Verdana" w:eastAsia="Verdana" w:hAnsi="Verdana" w:cs="Verdana"/>
          <w:color w:val="000000"/>
          <w:sz w:val="16"/>
          <w:szCs w:val="16"/>
        </w:rPr>
        <w:t xml:space="preserve">.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hereby consents to the exclusive jurisdiction of and venue in the Federal or State courts in </w:t>
      </w:r>
      <w:r w:rsidR="003A0AD7">
        <w:rPr>
          <w:rFonts w:ascii="Verdana" w:eastAsia="Verdana" w:hAnsi="Verdana" w:cs="Verdana"/>
          <w:color w:val="000000"/>
          <w:sz w:val="16"/>
          <w:szCs w:val="16"/>
        </w:rPr>
        <w:t xml:space="preserve">California </w:t>
      </w:r>
      <w:r>
        <w:rPr>
          <w:rFonts w:ascii="Verdana" w:eastAsia="Verdana" w:hAnsi="Verdana" w:cs="Verdana"/>
          <w:color w:val="000000"/>
          <w:sz w:val="16"/>
          <w:szCs w:val="16"/>
        </w:rPr>
        <w:t xml:space="preserve">in any action or claim arising out of, under or in connection with this Agreement, or the relationship between the parties hereto. </w:t>
      </w:r>
    </w:p>
    <w:p w14:paraId="0D185F02" w14:textId="77777777"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Conflict</w:t>
      </w:r>
      <w:r>
        <w:rPr>
          <w:rFonts w:ascii="Verdana" w:eastAsia="Verdana" w:hAnsi="Verdana" w:cs="Verdana"/>
          <w:color w:val="000000"/>
          <w:sz w:val="16"/>
          <w:szCs w:val="16"/>
        </w:rPr>
        <w:t>. In the event of a conflict between these Terms and Conditions and the SOW, these Terms and Conditions shall prevail.</w:t>
      </w:r>
    </w:p>
    <w:p w14:paraId="7B0174AA" w14:textId="24AB6C7F" w:rsidR="003C3664" w:rsidRDefault="00B960B0">
      <w:pPr>
        <w:numPr>
          <w:ilvl w:val="1"/>
          <w:numId w:val="3"/>
        </w:numPr>
        <w:pBdr>
          <w:top w:val="nil"/>
          <w:left w:val="nil"/>
          <w:bottom w:val="nil"/>
          <w:right w:val="nil"/>
          <w:between w:val="nil"/>
        </w:pBdr>
        <w:spacing w:after="60"/>
        <w:ind w:left="450"/>
        <w:jc w:val="both"/>
        <w:rPr>
          <w:rFonts w:ascii="Verdana" w:eastAsia="Verdana" w:hAnsi="Verdana" w:cs="Verdana"/>
          <w:color w:val="000000"/>
          <w:sz w:val="16"/>
          <w:szCs w:val="16"/>
        </w:rPr>
      </w:pPr>
      <w:r>
        <w:rPr>
          <w:rFonts w:ascii="Verdana" w:eastAsia="Verdana" w:hAnsi="Verdana" w:cs="Verdana"/>
          <w:color w:val="000000"/>
          <w:sz w:val="16"/>
          <w:szCs w:val="16"/>
          <w:u w:val="single"/>
        </w:rPr>
        <w:t>Entire Agreement; Severability</w:t>
      </w:r>
      <w:r>
        <w:rPr>
          <w:rFonts w:ascii="Verdana" w:eastAsia="Verdana" w:hAnsi="Verdana" w:cs="Verdana"/>
          <w:color w:val="000000"/>
          <w:sz w:val="16"/>
          <w:szCs w:val="16"/>
        </w:rPr>
        <w:t xml:space="preserve">. This Agreement, including any exhibits and any addenda thereto, constitutes the entire agreement between </w:t>
      </w:r>
      <w:r w:rsidR="00590F85">
        <w:rPr>
          <w:rFonts w:ascii="Verdana" w:eastAsia="Verdana" w:hAnsi="Verdana" w:cs="Verdana"/>
          <w:color w:val="000000"/>
          <w:sz w:val="16"/>
          <w:szCs w:val="16"/>
        </w:rPr>
        <w:t>Crispr QC</w:t>
      </w:r>
      <w:r>
        <w:rPr>
          <w:rFonts w:ascii="Verdana" w:eastAsia="Verdana" w:hAnsi="Verdana" w:cs="Verdana"/>
          <w:color w:val="000000"/>
          <w:sz w:val="16"/>
          <w:szCs w:val="16"/>
        </w:rPr>
        <w:t xml:space="preserve"> and the </w:t>
      </w:r>
      <w:r w:rsidR="00F6118E">
        <w:rPr>
          <w:rFonts w:ascii="Verdana" w:eastAsia="Verdana" w:hAnsi="Verdana" w:cs="Verdana"/>
          <w:color w:val="000000"/>
          <w:sz w:val="16"/>
          <w:szCs w:val="16"/>
        </w:rPr>
        <w:t>Company</w:t>
      </w:r>
      <w:r>
        <w:rPr>
          <w:rFonts w:ascii="Verdana" w:eastAsia="Verdana" w:hAnsi="Verdana" w:cs="Verdana"/>
          <w:color w:val="000000"/>
          <w:sz w:val="16"/>
          <w:szCs w:val="16"/>
        </w:rPr>
        <w:t xml:space="preserve">. This Agreement supersedes all prior or contemporaneous communications, representations, </w:t>
      </w:r>
      <w:proofErr w:type="gramStart"/>
      <w:r>
        <w:rPr>
          <w:rFonts w:ascii="Verdana" w:eastAsia="Verdana" w:hAnsi="Verdana" w:cs="Verdana"/>
          <w:color w:val="000000"/>
          <w:sz w:val="16"/>
          <w:szCs w:val="16"/>
        </w:rPr>
        <w:t>understandings</w:t>
      </w:r>
      <w:proofErr w:type="gramEnd"/>
      <w:r>
        <w:rPr>
          <w:rFonts w:ascii="Verdana" w:eastAsia="Verdana" w:hAnsi="Verdana" w:cs="Verdana"/>
          <w:color w:val="000000"/>
          <w:sz w:val="16"/>
          <w:szCs w:val="16"/>
        </w:rPr>
        <w:t xml:space="preserve"> and agreements, whether oral or written, relating to the Services. This Agreement may be amended only by a written instrument signed by both parties. The captions in this Agreement are for the convenience of the parties and shall not constitute a part of this Agreement nor be considered interpretative thereof. If any section, paragraph, part, term, or provision of this Agreement is construed or held to be void, invalid, or unenforceable by order, decree, or judgment of a court of competent jurisdiction, the remaining sections, paragraphs, parts, terms, and provisions of this Agreement shall not be affected thereby but shall remain in full force and effect. Signatures delivered electronically (for example, by email) shall have the same force and effect as an originally executed signature. Any fully executed copy of this Agreement will be deemed an original.</w:t>
      </w:r>
    </w:p>
    <w:sectPr w:rsidR="003C3664">
      <w:headerReference w:type="first" r:id="rId15"/>
      <w:footerReference w:type="first" r:id="rId16"/>
      <w:pgSz w:w="12240" w:h="15840"/>
      <w:pgMar w:top="1008" w:right="433" w:bottom="705" w:left="360" w:header="540" w:footer="504" w:gutter="0"/>
      <w:pgNumType w:start="1"/>
      <w:cols w:num="2" w:space="720" w:equalWidth="0">
        <w:col w:w="5643" w:space="160"/>
        <w:col w:w="5643"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FA0C" w14:textId="77777777" w:rsidR="008E4BC7" w:rsidRDefault="008E4BC7">
      <w:r>
        <w:separator/>
      </w:r>
    </w:p>
  </w:endnote>
  <w:endnote w:type="continuationSeparator" w:id="0">
    <w:p w14:paraId="7E73E7CD" w14:textId="77777777" w:rsidR="008E4BC7" w:rsidRDefault="008E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E2F6" w14:textId="77777777" w:rsidR="003C3664" w:rsidRDefault="00B960B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503E358" w14:textId="77777777" w:rsidR="003C3664" w:rsidRDefault="003C36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0A08" w14:textId="77777777" w:rsidR="003C3664" w:rsidRDefault="003C3664">
    <w:pPr>
      <w:pBdr>
        <w:top w:val="nil"/>
        <w:left w:val="nil"/>
        <w:bottom w:val="nil"/>
        <w:right w:val="nil"/>
        <w:between w:val="nil"/>
      </w:pBdr>
      <w:tabs>
        <w:tab w:val="center" w:pos="4680"/>
        <w:tab w:val="right" w:pos="9360"/>
      </w:tabs>
      <w:rPr>
        <w:color w:val="000000"/>
        <w:sz w:val="19"/>
        <w:szCs w:val="19"/>
      </w:rPr>
    </w:pPr>
  </w:p>
  <w:p w14:paraId="43848AB4" w14:textId="77777777" w:rsidR="003C3664" w:rsidRDefault="00B960B0">
    <w:pPr>
      <w:pBdr>
        <w:top w:val="nil"/>
        <w:left w:val="nil"/>
        <w:bottom w:val="nil"/>
        <w:right w:val="nil"/>
        <w:between w:val="nil"/>
      </w:pBdr>
      <w:tabs>
        <w:tab w:val="left" w:pos="7996"/>
      </w:tabs>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0DC9" w14:textId="1BAFE3A8" w:rsidR="003C3664" w:rsidRDefault="003C3664">
    <w:pPr>
      <w:ind w:left="-630" w:right="86" w:firstLine="63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097" w14:textId="77777777" w:rsidR="003C3664" w:rsidRDefault="003C3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5F79" w14:textId="77777777" w:rsidR="008E4BC7" w:rsidRDefault="008E4BC7">
      <w:r>
        <w:separator/>
      </w:r>
    </w:p>
  </w:footnote>
  <w:footnote w:type="continuationSeparator" w:id="0">
    <w:p w14:paraId="44EF66F0" w14:textId="77777777" w:rsidR="008E4BC7" w:rsidRDefault="008E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CB4C" w14:textId="77777777" w:rsidR="003C3664" w:rsidRDefault="003C3664">
    <w:pPr>
      <w:pBdr>
        <w:top w:val="nil"/>
        <w:left w:val="nil"/>
        <w:bottom w:val="nil"/>
        <w:right w:val="nil"/>
        <w:between w:val="nil"/>
      </w:pBdr>
      <w:tabs>
        <w:tab w:val="center" w:pos="4680"/>
        <w:tab w:val="right" w:pos="9360"/>
      </w:tabs>
      <w:spacing w:after="120"/>
      <w:jc w:val="cente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E6E" w14:textId="77777777" w:rsidR="003C3664" w:rsidRDefault="003C3664"/>
  <w:p w14:paraId="19542BCD" w14:textId="77777777" w:rsidR="003C3664" w:rsidRDefault="00B960B0">
    <w:pPr>
      <w:pBdr>
        <w:top w:val="nil"/>
        <w:left w:val="nil"/>
        <w:bottom w:val="nil"/>
        <w:right w:val="nil"/>
        <w:between w:val="nil"/>
      </w:pBdr>
      <w:tabs>
        <w:tab w:val="center" w:pos="4680"/>
        <w:tab w:val="right" w:pos="9360"/>
      </w:tabs>
      <w:jc w:val="center"/>
      <w:rPr>
        <w:b/>
        <w:color w:val="000000"/>
        <w:sz w:val="20"/>
        <w:szCs w:val="20"/>
      </w:rPr>
    </w:pPr>
    <w:r>
      <w:rPr>
        <w:b/>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B5E9" w14:textId="77777777" w:rsidR="003C3664" w:rsidRDefault="00B960B0">
    <w:pPr>
      <w:pBdr>
        <w:top w:val="nil"/>
        <w:left w:val="nil"/>
        <w:bottom w:val="nil"/>
        <w:right w:val="nil"/>
        <w:between w:val="nil"/>
      </w:pBdr>
      <w:tabs>
        <w:tab w:val="center" w:pos="4680"/>
        <w:tab w:val="right" w:pos="9360"/>
      </w:tabs>
      <w:jc w:val="center"/>
      <w:rPr>
        <w:color w:val="000000"/>
        <w:sz w:val="20"/>
        <w:szCs w:val="20"/>
      </w:rPr>
    </w:pPr>
    <w:r>
      <w:rPr>
        <w:color w:val="000000"/>
        <w:sz w:val="20"/>
        <w:szCs w:val="20"/>
        <w:u w:val="single"/>
      </w:rPr>
      <w:t>Schedule A</w:t>
    </w:r>
  </w:p>
  <w:p w14:paraId="7FBCA447" w14:textId="77777777" w:rsidR="003C3664" w:rsidRDefault="00B960B0">
    <w:pPr>
      <w:pBdr>
        <w:top w:val="nil"/>
        <w:left w:val="nil"/>
        <w:bottom w:val="nil"/>
        <w:right w:val="nil"/>
        <w:between w:val="nil"/>
      </w:pBdr>
      <w:tabs>
        <w:tab w:val="center" w:pos="4680"/>
        <w:tab w:val="right" w:pos="9360"/>
      </w:tabs>
      <w:spacing w:after="120"/>
      <w:jc w:val="center"/>
      <w:rPr>
        <w:color w:val="000000"/>
        <w:sz w:val="20"/>
        <w:szCs w:val="20"/>
      </w:rPr>
    </w:pPr>
    <w:r>
      <w:rPr>
        <w:color w:val="000000"/>
        <w:sz w:val="20"/>
        <w:szCs w:val="20"/>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2F5E"/>
    <w:multiLevelType w:val="multilevel"/>
    <w:tmpl w:val="53E03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2722B8"/>
    <w:multiLevelType w:val="multilevel"/>
    <w:tmpl w:val="53E03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140338"/>
    <w:multiLevelType w:val="multilevel"/>
    <w:tmpl w:val="53E0312C"/>
    <w:lvl w:ilvl="0">
      <w:start w:val="1"/>
      <w:numFmt w:val="decimal"/>
      <w:lvlText w:val="%1."/>
      <w:lvlJc w:val="left"/>
      <w:pPr>
        <w:ind w:left="2880" w:hanging="360"/>
      </w:p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upperLetter"/>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3" w15:restartNumberingAfterBreak="0">
    <w:nsid w:val="717862CC"/>
    <w:multiLevelType w:val="multilevel"/>
    <w:tmpl w:val="0276C2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607C3E"/>
    <w:multiLevelType w:val="multilevel"/>
    <w:tmpl w:val="53E03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1992582">
    <w:abstractNumId w:val="3"/>
  </w:num>
  <w:num w:numId="2" w16cid:durableId="1092244957">
    <w:abstractNumId w:val="2"/>
  </w:num>
  <w:num w:numId="3" w16cid:durableId="1249852464">
    <w:abstractNumId w:val="4"/>
  </w:num>
  <w:num w:numId="4" w16cid:durableId="1780297509">
    <w:abstractNumId w:val="0"/>
  </w:num>
  <w:num w:numId="5" w16cid:durableId="54383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01"/>
    <w:rsid w:val="000328FE"/>
    <w:rsid w:val="00042074"/>
    <w:rsid w:val="00075501"/>
    <w:rsid w:val="000C2A4F"/>
    <w:rsid w:val="0011211A"/>
    <w:rsid w:val="00175D49"/>
    <w:rsid w:val="00183833"/>
    <w:rsid w:val="001D5D61"/>
    <w:rsid w:val="002152D8"/>
    <w:rsid w:val="002462A5"/>
    <w:rsid w:val="00265D40"/>
    <w:rsid w:val="00277336"/>
    <w:rsid w:val="00324E98"/>
    <w:rsid w:val="003A0AD7"/>
    <w:rsid w:val="003B40D4"/>
    <w:rsid w:val="003C3664"/>
    <w:rsid w:val="00443DBD"/>
    <w:rsid w:val="00481FD9"/>
    <w:rsid w:val="004A4C09"/>
    <w:rsid w:val="004D692F"/>
    <w:rsid w:val="00542B95"/>
    <w:rsid w:val="00590F85"/>
    <w:rsid w:val="005A447A"/>
    <w:rsid w:val="006372FF"/>
    <w:rsid w:val="006550BD"/>
    <w:rsid w:val="0067224B"/>
    <w:rsid w:val="007347D1"/>
    <w:rsid w:val="00752D76"/>
    <w:rsid w:val="00756C0A"/>
    <w:rsid w:val="007F53A3"/>
    <w:rsid w:val="008033B8"/>
    <w:rsid w:val="008B496B"/>
    <w:rsid w:val="008E4BC7"/>
    <w:rsid w:val="00950233"/>
    <w:rsid w:val="009919D7"/>
    <w:rsid w:val="009B67E6"/>
    <w:rsid w:val="009D19D7"/>
    <w:rsid w:val="009E4153"/>
    <w:rsid w:val="009E605E"/>
    <w:rsid w:val="00A0204E"/>
    <w:rsid w:val="00A14BB3"/>
    <w:rsid w:val="00A5255D"/>
    <w:rsid w:val="00A64D58"/>
    <w:rsid w:val="00B827B8"/>
    <w:rsid w:val="00B84829"/>
    <w:rsid w:val="00B960B0"/>
    <w:rsid w:val="00C16A1C"/>
    <w:rsid w:val="00C5352F"/>
    <w:rsid w:val="00CA181E"/>
    <w:rsid w:val="00CF4FD2"/>
    <w:rsid w:val="00D00DE7"/>
    <w:rsid w:val="00DD6DF2"/>
    <w:rsid w:val="00DE693D"/>
    <w:rsid w:val="00E23357"/>
    <w:rsid w:val="00E40725"/>
    <w:rsid w:val="00F6118E"/>
    <w:rsid w:val="00FB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C42D"/>
  <w15:chartTrackingRefBased/>
  <w15:docId w15:val="{0EDEABF0-37BF-D54B-A83B-1B26DA19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357"/>
    <w:pPr>
      <w:tabs>
        <w:tab w:val="center" w:pos="4680"/>
        <w:tab w:val="right" w:pos="9360"/>
      </w:tabs>
    </w:pPr>
  </w:style>
  <w:style w:type="character" w:customStyle="1" w:styleId="HeaderChar">
    <w:name w:val="Header Char"/>
    <w:basedOn w:val="DefaultParagraphFont"/>
    <w:link w:val="Header"/>
    <w:uiPriority w:val="99"/>
    <w:rsid w:val="00E23357"/>
    <w:rPr>
      <w:rFonts w:ascii="Times New Roman" w:eastAsia="Times New Roman" w:hAnsi="Times New Roman" w:cs="Times New Roman"/>
    </w:rPr>
  </w:style>
  <w:style w:type="paragraph" w:styleId="ListParagraph">
    <w:name w:val="List Paragraph"/>
    <w:basedOn w:val="Normal"/>
    <w:uiPriority w:val="34"/>
    <w:qFormat/>
    <w:rsid w:val="0003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7c06b7-ca30-4721-b50a-aca9d74226e8"/>
    <lcf76f155ced4ddcb4097134ff3c332f xmlns="a9437fcb-56d1-4ccf-a209-67369c1f25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3FA8C9C606C40B22055CA40F8D851" ma:contentTypeVersion="13" ma:contentTypeDescription="Create a new document." ma:contentTypeScope="" ma:versionID="e5522f41634ce0d68f8a39df129c079e">
  <xsd:schema xmlns:xsd="http://www.w3.org/2001/XMLSchema" xmlns:xs="http://www.w3.org/2001/XMLSchema" xmlns:p="http://schemas.microsoft.com/office/2006/metadata/properties" xmlns:ns2="a9437fcb-56d1-4ccf-a209-67369c1f254e" xmlns:ns3="2b7c06b7-ca30-4721-b50a-aca9d74226e8" targetNamespace="http://schemas.microsoft.com/office/2006/metadata/properties" ma:root="true" ma:fieldsID="f187701303ec18bd40061b81666835eb" ns2:_="" ns3:_="">
    <xsd:import namespace="a9437fcb-56d1-4ccf-a209-67369c1f254e"/>
    <xsd:import namespace="2b7c06b7-ca30-4721-b50a-aca9d7422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37fcb-56d1-4ccf-a209-67369c1f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de2a29-e1aa-4ec1-bab4-4fc879114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c06b7-ca30-4721-b50a-aca9d74226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56b67f-3c67-4e9f-8854-efa8c67e8c6b}" ma:internalName="TaxCatchAll" ma:showField="CatchAllData" ma:web="2b7c06b7-ca30-4721-b50a-aca9d7422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5B91C-148B-4153-A371-9F760D5859A1}">
  <ds:schemaRefs>
    <ds:schemaRef ds:uri="http://schemas.microsoft.com/sharepoint/v3/contenttype/forms"/>
  </ds:schemaRefs>
</ds:datastoreItem>
</file>

<file path=customXml/itemProps2.xml><?xml version="1.0" encoding="utf-8"?>
<ds:datastoreItem xmlns:ds="http://schemas.openxmlformats.org/officeDocument/2006/customXml" ds:itemID="{AB7BB462-6FA4-400D-9767-84A1AC695D47}">
  <ds:schemaRefs>
    <ds:schemaRef ds:uri="a9437fcb-56d1-4ccf-a209-67369c1f254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2b7c06b7-ca30-4721-b50a-aca9d74226e8"/>
    <ds:schemaRef ds:uri="http://schemas.microsoft.com/office/2006/metadata/properties"/>
  </ds:schemaRefs>
</ds:datastoreItem>
</file>

<file path=customXml/itemProps3.xml><?xml version="1.0" encoding="utf-8"?>
<ds:datastoreItem xmlns:ds="http://schemas.openxmlformats.org/officeDocument/2006/customXml" ds:itemID="{C01C14E3-D8D4-4E90-AB90-1165E2DFB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37fcb-56d1-4ccf-a209-67369c1f254e"/>
    <ds:schemaRef ds:uri="2b7c06b7-ca30-4721-b50a-aca9d7422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Zack Raborn</cp:lastModifiedBy>
  <cp:revision>2</cp:revision>
  <dcterms:created xsi:type="dcterms:W3CDTF">2022-09-02T15:46:00Z</dcterms:created>
  <dcterms:modified xsi:type="dcterms:W3CDTF">2022-09-02T15:46:00Z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0x010100EC33FA8C9C606C40B22055CA40F8D851</vt:lpwstr>
  </property>
</Properties>
</file>